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霸州市城市管理行政执法局201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年部门预算信息公开</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按照《预算法》、《地方预决算公开操作规程》和《河北省省级预算公开办法》规定，现将霸州市城市管理行政执法局201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年部门预算公开如下</w:t>
      </w:r>
      <w:r>
        <w:rPr>
          <w:rFonts w:hint="eastAsia" w:ascii="仿宋" w:hAnsi="仿宋" w:eastAsia="仿宋" w:cs="仿宋"/>
          <w:sz w:val="32"/>
          <w:szCs w:val="32"/>
        </w:rPr>
        <w:t>：</w:t>
      </w:r>
    </w:p>
    <w:p>
      <w:pPr>
        <w:ind w:firstLine="640"/>
        <w:rPr>
          <w:rFonts w:ascii="黑体" w:eastAsia="黑体" w:cs="Times New Roman" w:hAnsiTheme="majorEastAsia"/>
          <w:bCs/>
          <w:sz w:val="32"/>
          <w:szCs w:val="32"/>
        </w:rPr>
      </w:pPr>
      <w:r>
        <w:rPr>
          <w:rFonts w:hint="eastAsia" w:ascii="黑体" w:eastAsia="黑体" w:cs="Times New Roman" w:hAnsiTheme="majorEastAsia"/>
          <w:bCs/>
          <w:sz w:val="32"/>
          <w:szCs w:val="32"/>
        </w:rPr>
        <w:t>一、部门职责及机构设置情况</w:t>
      </w:r>
    </w:p>
    <w:p>
      <w:pPr>
        <w:ind w:firstLine="643" w:firstLineChars="200"/>
        <w:rPr>
          <w:rFonts w:ascii="楷体_GB2312" w:eastAsia="楷体_GB2312" w:cs="Times New Roman" w:hAnsiTheme="majorEastAsia"/>
          <w:b/>
          <w:sz w:val="32"/>
          <w:szCs w:val="32"/>
        </w:rPr>
      </w:pPr>
      <w:r>
        <w:rPr>
          <w:rFonts w:hint="eastAsia" w:ascii="楷体" w:hAnsi="楷体" w:eastAsia="楷体" w:cs="楷体"/>
          <w:b/>
          <w:sz w:val="32"/>
          <w:szCs w:val="32"/>
        </w:rPr>
        <w:t>部门职责</w:t>
      </w:r>
      <w:r>
        <w:rPr>
          <w:rFonts w:hint="eastAsia" w:ascii="楷体_GB2312" w:eastAsia="楷体_GB2312" w:cs="Times New Roman" w:hAnsiTheme="majorEastAsia"/>
          <w:b/>
          <w:sz w:val="32"/>
          <w:szCs w:val="32"/>
        </w:rPr>
        <w:t>：</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（一）根据国家和省、廊坊市及我市城市管理方面的法律、法规、规章，拟定全市城市管理规章制度，并付诸实施。</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（二）行使市容环境卫生管理方面法律、法规、规章规定的全部行政处罚权；履行市容环境卫生管理方面法律、法规、规章规定的有关职责</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（三）行使城市绿化管理方面法律、法规、规章规定的全部行政处罚权；</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使城乡规划管理方面法律、法规、规章规定的全部行政处罚权；对城乡规划范围内未取得建设工程规划许可证或者违反建设工程规划许可证的建设工程实施处罚；按城市规划行使审核、监督、处罚权；按有关规定和法定程序，强制拆除违法建筑物或者设施</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（五）行使工商行政管理方面法律、法规、规章规定的对无照商贩的监督管理和行政处罚权；</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（六）行使对侵占城市规划区内人行道、公共场地等行为的行政处罚权；行使临时占道审批管理权及依法收取占道费</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（七）行使市政、公用设施管理方面法律、法规、规章规定的全部行政处罚权</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（八）行使对基础设施施工现场和建筑工地围场作业的监督管理和行政处罚权</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（九）行使环境保护方面法律、法规、规章规定的室外噪音扰民等环境污染的行政处罚权</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（十）行使对市区各种客运出租车辆的营运审核权和行政处罚权</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（十一）行使交通运输管理方面法律、法规、规章规定的对市区内散装货物运输的监督管理和行政处罚权</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（十二）依据有关法律、法规、规章，负责城市管理相关规定、通告、通知等规范性文件的起草、宣传、贯彻落实工作</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（十三）负责受理上级批转的信访案件和群众举报案件及办理人大、政协建议、提案工作</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（十四）负责干部职工思想政治教育及业务培训工作，局内党（团）员的发展、教育、管理工作，工、青、妇及计划生育、安全保卫工作</w:t>
      </w:r>
    </w:p>
    <w:p>
      <w:pPr>
        <w:spacing w:line="580" w:lineRule="atLeas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（十五）履行法律、法规、规章或者省、廊坊市及我市人民政府规定的其他职责</w:t>
      </w:r>
    </w:p>
    <w:p>
      <w:pPr>
        <w:autoSpaceDE w:val="0"/>
        <w:autoSpaceDN w:val="0"/>
        <w:adjustRightInd w:val="0"/>
        <w:ind w:firstLine="643" w:firstLineChars="200"/>
        <w:jc w:val="left"/>
        <w:rPr>
          <w:rFonts w:ascii="楷体_GB2312" w:eastAsia="楷体_GB2312" w:cs="Times New Roman" w:hAnsiTheme="majorEastAsia"/>
          <w:b/>
          <w:sz w:val="32"/>
          <w:szCs w:val="32"/>
        </w:rPr>
      </w:pPr>
      <w:r>
        <w:rPr>
          <w:rFonts w:hint="eastAsia" w:ascii="楷体_GB2312" w:eastAsia="楷体_GB2312" w:cs="Times New Roman" w:hAnsiTheme="majorEastAsia"/>
          <w:b/>
          <w:sz w:val="32"/>
          <w:szCs w:val="32"/>
        </w:rPr>
        <w:t>机构设置：</w:t>
      </w:r>
    </w:p>
    <w:p>
      <w:pPr>
        <w:jc w:val="center"/>
        <w:outlineLvl w:val="0"/>
        <w:rPr>
          <w:rFonts w:ascii="方正仿宋_GBK" w:eastAsia="方正仿宋_GBK" w:cs="Times New Roman" w:hAnsiTheme="majorEastAsia"/>
          <w:sz w:val="32"/>
          <w:szCs w:val="24"/>
        </w:rPr>
      </w:pPr>
      <w:r>
        <w:rPr>
          <w:rFonts w:hint="eastAsia" w:ascii="方正仿宋_GBK" w:eastAsia="方正仿宋_GBK" w:cs="Times New Roman" w:hAnsiTheme="majorEastAsia"/>
          <w:sz w:val="32"/>
          <w:szCs w:val="24"/>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方正仿宋_GBK" w:eastAsia="方正仿宋_GBK" w:cs="Times New Roman" w:hAnsiTheme="majorEastAsia"/>
                <w:b/>
                <w:szCs w:val="24"/>
              </w:rPr>
            </w:pPr>
            <w:r>
              <w:rPr>
                <w:rFonts w:hint="eastAsia" w:ascii="方正仿宋_GBK" w:eastAsia="方正仿宋_GBK" w:cs="Times New Roman" w:hAnsiTheme="majorEastAsia"/>
                <w:b/>
                <w:szCs w:val="24"/>
              </w:rPr>
              <w:t>单位名称</w:t>
            </w:r>
          </w:p>
        </w:tc>
        <w:tc>
          <w:tcPr>
            <w:tcW w:w="1134" w:type="dxa"/>
            <w:vMerge w:val="restart"/>
            <w:shd w:val="clear" w:color="auto" w:fill="auto"/>
            <w:vAlign w:val="center"/>
          </w:tcPr>
          <w:p>
            <w:pPr>
              <w:spacing w:line="300" w:lineRule="exact"/>
              <w:jc w:val="center"/>
              <w:rPr>
                <w:rFonts w:ascii="方正仿宋_GBK" w:eastAsia="方正仿宋_GBK" w:cs="Times New Roman" w:hAnsiTheme="majorEastAsia"/>
                <w:b/>
                <w:szCs w:val="24"/>
              </w:rPr>
            </w:pPr>
            <w:r>
              <w:rPr>
                <w:rFonts w:hint="eastAsia" w:ascii="方正仿宋_GBK" w:eastAsia="方正仿宋_GBK" w:cs="Times New Roman" w:hAnsiTheme="majorEastAsia"/>
                <w:b/>
                <w:szCs w:val="24"/>
              </w:rPr>
              <w:t>单位性质</w:t>
            </w:r>
          </w:p>
        </w:tc>
        <w:tc>
          <w:tcPr>
            <w:tcW w:w="1276" w:type="dxa"/>
            <w:vMerge w:val="restart"/>
            <w:shd w:val="clear" w:color="auto" w:fill="auto"/>
            <w:vAlign w:val="center"/>
          </w:tcPr>
          <w:p>
            <w:pPr>
              <w:spacing w:line="300" w:lineRule="exact"/>
              <w:jc w:val="center"/>
              <w:rPr>
                <w:rFonts w:ascii="方正仿宋_GBK" w:eastAsia="方正仿宋_GBK" w:cs="Times New Roman" w:hAnsiTheme="majorEastAsia"/>
                <w:b/>
                <w:szCs w:val="24"/>
              </w:rPr>
            </w:pPr>
            <w:r>
              <w:rPr>
                <w:rFonts w:hint="eastAsia" w:ascii="方正仿宋_GBK" w:eastAsia="方正仿宋_GBK" w:cs="Times New Roman" w:hAnsiTheme="majorEastAsia"/>
                <w:b/>
                <w:szCs w:val="24"/>
              </w:rPr>
              <w:t>单位规格</w:t>
            </w:r>
          </w:p>
        </w:tc>
        <w:tc>
          <w:tcPr>
            <w:tcW w:w="2902" w:type="dxa"/>
            <w:vMerge w:val="restart"/>
            <w:shd w:val="clear" w:color="auto" w:fill="auto"/>
            <w:vAlign w:val="center"/>
          </w:tcPr>
          <w:p>
            <w:pPr>
              <w:spacing w:line="300" w:lineRule="exact"/>
              <w:jc w:val="center"/>
              <w:rPr>
                <w:rFonts w:ascii="方正仿宋_GBK" w:eastAsia="方正仿宋_GBK" w:cs="Times New Roman" w:hAnsiTheme="majorEastAsia"/>
                <w:b/>
                <w:szCs w:val="24"/>
              </w:rPr>
            </w:pPr>
            <w:r>
              <w:rPr>
                <w:rFonts w:hint="eastAsia" w:ascii="方正仿宋_GBK" w:eastAsia="方正仿宋_GBK" w:cs="Times New Roman" w:hAnsiTheme="majorEastAsia"/>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center"/>
              <w:outlineLvl w:val="0"/>
              <w:rPr>
                <w:rFonts w:ascii="方正仿宋_GBK" w:eastAsia="方正仿宋_GBK" w:cs="Times New Roman" w:hAnsiTheme="majorEastAsia"/>
                <w:szCs w:val="24"/>
              </w:rPr>
            </w:pPr>
          </w:p>
        </w:tc>
        <w:tc>
          <w:tcPr>
            <w:tcW w:w="1134" w:type="dxa"/>
            <w:vMerge w:val="continue"/>
            <w:shd w:val="clear" w:color="auto" w:fill="auto"/>
            <w:vAlign w:val="center"/>
          </w:tcPr>
          <w:p>
            <w:pPr>
              <w:spacing w:line="300" w:lineRule="exact"/>
              <w:jc w:val="center"/>
              <w:outlineLvl w:val="0"/>
              <w:rPr>
                <w:rFonts w:ascii="方正仿宋_GBK" w:eastAsia="方正仿宋_GBK" w:cs="Times New Roman" w:hAnsiTheme="majorEastAsia"/>
                <w:szCs w:val="24"/>
              </w:rPr>
            </w:pPr>
          </w:p>
        </w:tc>
        <w:tc>
          <w:tcPr>
            <w:tcW w:w="1276" w:type="dxa"/>
            <w:vMerge w:val="continue"/>
            <w:shd w:val="clear" w:color="auto" w:fill="auto"/>
            <w:vAlign w:val="center"/>
          </w:tcPr>
          <w:p>
            <w:pPr>
              <w:spacing w:line="300" w:lineRule="exact"/>
              <w:jc w:val="center"/>
              <w:outlineLvl w:val="0"/>
              <w:rPr>
                <w:rFonts w:ascii="方正仿宋_GBK" w:eastAsia="方正仿宋_GBK" w:cs="Times New Roman" w:hAnsiTheme="majorEastAsia"/>
                <w:szCs w:val="24"/>
              </w:rPr>
            </w:pPr>
          </w:p>
        </w:tc>
        <w:tc>
          <w:tcPr>
            <w:tcW w:w="2902" w:type="dxa"/>
            <w:vMerge w:val="continue"/>
            <w:shd w:val="clear" w:color="auto" w:fill="auto"/>
            <w:vAlign w:val="center"/>
          </w:tcPr>
          <w:p>
            <w:pPr>
              <w:spacing w:line="300" w:lineRule="exact"/>
              <w:jc w:val="center"/>
              <w:outlineLvl w:val="0"/>
              <w:rPr>
                <w:rFonts w:ascii="方正仿宋_GBK" w:eastAsia="方正仿宋_GBK" w:cs="Times New Roman" w:hAnsiTheme="maj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方正仿宋_GBK" w:eastAsia="方正仿宋_GBK" w:cs="Times New Roman" w:hAnsiTheme="majorEastAsia"/>
                <w:szCs w:val="24"/>
              </w:rPr>
            </w:pPr>
            <w:r>
              <w:rPr>
                <w:rFonts w:hint="eastAsia" w:ascii="方正仿宋_GBK" w:eastAsia="方正仿宋_GBK" w:hAnsiTheme="majorEastAsia"/>
              </w:rPr>
              <w:t>霸州市城市管理行政执法局</w:t>
            </w:r>
          </w:p>
        </w:tc>
        <w:tc>
          <w:tcPr>
            <w:tcW w:w="1134" w:type="dxa"/>
            <w:shd w:val="clear" w:color="auto" w:fill="auto"/>
            <w:vAlign w:val="center"/>
          </w:tcPr>
          <w:p>
            <w:pPr>
              <w:spacing w:line="300" w:lineRule="exact"/>
              <w:jc w:val="center"/>
              <w:rPr>
                <w:rFonts w:ascii="方正仿宋_GBK" w:eastAsia="方正仿宋_GBK" w:cs="Times New Roman" w:hAnsiTheme="majorEastAsia"/>
                <w:szCs w:val="24"/>
              </w:rPr>
            </w:pPr>
            <w:r>
              <w:rPr>
                <w:rFonts w:hint="eastAsia" w:ascii="方正仿宋_GBK" w:eastAsia="方正仿宋_GBK" w:cs="Times New Roman" w:hAnsiTheme="majorEastAsia"/>
                <w:szCs w:val="24"/>
              </w:rPr>
              <w:t>行政</w:t>
            </w:r>
          </w:p>
        </w:tc>
        <w:tc>
          <w:tcPr>
            <w:tcW w:w="1276" w:type="dxa"/>
            <w:shd w:val="clear" w:color="auto" w:fill="auto"/>
            <w:vAlign w:val="center"/>
          </w:tcPr>
          <w:p>
            <w:pPr>
              <w:spacing w:line="300" w:lineRule="exact"/>
              <w:jc w:val="center"/>
              <w:rPr>
                <w:rFonts w:ascii="方正仿宋_GBK" w:eastAsia="方正仿宋_GBK" w:cs="Times New Roman" w:hAnsiTheme="majorEastAsia"/>
                <w:szCs w:val="24"/>
              </w:rPr>
            </w:pPr>
            <w:r>
              <w:rPr>
                <w:rFonts w:hint="eastAsia" w:ascii="方正仿宋_GBK" w:eastAsia="方正仿宋_GBK" w:cs="Times New Roman" w:hAnsiTheme="majorEastAsia"/>
                <w:szCs w:val="24"/>
              </w:rPr>
              <w:t>正科级</w:t>
            </w:r>
          </w:p>
        </w:tc>
        <w:tc>
          <w:tcPr>
            <w:tcW w:w="2902" w:type="dxa"/>
            <w:shd w:val="clear" w:color="auto" w:fill="auto"/>
            <w:vAlign w:val="center"/>
          </w:tcPr>
          <w:p>
            <w:pPr>
              <w:spacing w:line="300" w:lineRule="exact"/>
              <w:jc w:val="center"/>
              <w:rPr>
                <w:rFonts w:ascii="方正仿宋_GBK" w:eastAsia="方正仿宋_GBK" w:cs="Times New Roman" w:hAnsiTheme="majorEastAsia"/>
                <w:szCs w:val="24"/>
              </w:rPr>
            </w:pPr>
            <w:r>
              <w:rPr>
                <w:rFonts w:hint="eastAsia" w:ascii="方正仿宋_GBK" w:eastAsia="方正仿宋_GBK" w:hAnsiTheme="majorEastAsia"/>
              </w:rPr>
              <w:t>财政拨款</w:t>
            </w:r>
          </w:p>
        </w:tc>
      </w:tr>
    </w:tbl>
    <w:p>
      <w:pPr>
        <w:ind w:firstLine="640"/>
        <w:rPr>
          <w:rFonts w:ascii="黑体" w:eastAsia="黑体" w:cs="Times New Roman" w:hAnsiTheme="majorEastAsia"/>
          <w:bCs/>
          <w:sz w:val="32"/>
          <w:szCs w:val="32"/>
        </w:rPr>
      </w:pPr>
      <w:r>
        <w:rPr>
          <w:rFonts w:hint="eastAsia" w:ascii="黑体" w:eastAsia="黑体" w:cs="Times New Roman" w:hAnsiTheme="majorEastAsia"/>
          <w:bCs/>
          <w:sz w:val="32"/>
          <w:szCs w:val="32"/>
        </w:rPr>
        <w:t>二、部门预算安排的总体情况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按照预算管理有关规定，目前我市部门预算的编制实行综合预算制度，即全部收入和支出都反映在预算中。</w:t>
      </w:r>
    </w:p>
    <w:p>
      <w:pPr>
        <w:ind w:firstLine="640"/>
        <w:rPr>
          <w:rFonts w:ascii="楷体" w:hAnsi="楷体" w:eastAsia="楷体" w:cs="楷体"/>
          <w:b/>
          <w:sz w:val="32"/>
          <w:szCs w:val="32"/>
        </w:rPr>
      </w:pPr>
      <w:r>
        <w:rPr>
          <w:rFonts w:hint="eastAsia" w:ascii="楷体" w:hAnsi="楷体" w:eastAsia="楷体" w:cs="楷体"/>
          <w:b/>
          <w:sz w:val="32"/>
          <w:szCs w:val="32"/>
        </w:rPr>
        <w:t>1、收入说明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年预算收入</w:t>
      </w:r>
      <w:r>
        <w:rPr>
          <w:rFonts w:hint="eastAsia" w:ascii="仿宋_GB2312" w:hAnsi="仿宋_GB2312" w:eastAsia="仿宋_GB2312" w:cs="仿宋_GB2312"/>
          <w:sz w:val="32"/>
          <w:szCs w:val="32"/>
          <w:lang w:val="en-US" w:eastAsia="zh-CN"/>
        </w:rPr>
        <w:t>4066.73</w:t>
      </w:r>
      <w:r>
        <w:rPr>
          <w:rFonts w:hint="eastAsia" w:ascii="仿宋_GB2312" w:hAnsi="仿宋_GB2312" w:eastAsia="仿宋_GB2312" w:cs="仿宋_GB2312"/>
          <w:sz w:val="32"/>
          <w:szCs w:val="32"/>
        </w:rPr>
        <w:t>万元，其中：一般公共预算收入</w:t>
      </w:r>
      <w:r>
        <w:rPr>
          <w:rFonts w:hint="eastAsia" w:ascii="仿宋_GB2312" w:hAnsi="仿宋_GB2312" w:eastAsia="仿宋_GB2312" w:cs="仿宋_GB2312"/>
          <w:sz w:val="32"/>
          <w:szCs w:val="32"/>
          <w:lang w:val="en-US" w:eastAsia="zh-CN"/>
        </w:rPr>
        <w:t>4066.73</w:t>
      </w:r>
      <w:r>
        <w:rPr>
          <w:rFonts w:hint="eastAsia" w:ascii="仿宋_GB2312" w:hAnsi="仿宋_GB2312" w:eastAsia="仿宋_GB2312" w:cs="仿宋_GB2312"/>
          <w:sz w:val="32"/>
          <w:szCs w:val="32"/>
        </w:rPr>
        <w:t>万元，政府性基金收入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万元，国有资本经营收入0万元，上级补助收入0万元，事业收入0万元，经营收入0万元，附属单位上缴收入0万元，其他收入0万元。</w:t>
      </w:r>
    </w:p>
    <w:p>
      <w:pPr>
        <w:ind w:firstLine="640"/>
        <w:rPr>
          <w:rFonts w:ascii="楷体" w:hAnsi="楷体" w:eastAsia="楷体" w:cs="楷体"/>
          <w:b/>
          <w:sz w:val="32"/>
          <w:szCs w:val="32"/>
        </w:rPr>
      </w:pPr>
      <w:r>
        <w:rPr>
          <w:rFonts w:hint="eastAsia" w:ascii="楷体" w:hAnsi="楷体" w:eastAsia="楷体" w:cs="楷体"/>
          <w:b/>
          <w:sz w:val="32"/>
          <w:szCs w:val="32"/>
        </w:rPr>
        <w:t>2、支出说明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收支预算总表支出栏、基本支出表、项目支出表按经济分类和支出功能分类科目编制，反映霸州市城市管理行政执法局年度部门预算中支出预算的总体情况。201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年本部门支出预算</w:t>
      </w:r>
      <w:r>
        <w:rPr>
          <w:rFonts w:hint="eastAsia" w:ascii="仿宋_GB2312" w:hAnsi="仿宋_GB2312" w:eastAsia="仿宋_GB2312" w:cs="仿宋_GB2312"/>
          <w:sz w:val="32"/>
          <w:szCs w:val="32"/>
          <w:lang w:val="en-US" w:eastAsia="zh-CN"/>
        </w:rPr>
        <w:t>4066.73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3742.93</w:t>
      </w:r>
      <w:r>
        <w:rPr>
          <w:rFonts w:hint="eastAsia" w:ascii="仿宋_GB2312" w:hAnsi="仿宋_GB2312" w:eastAsia="仿宋_GB2312" w:cs="仿宋_GB2312"/>
          <w:sz w:val="32"/>
          <w:szCs w:val="32"/>
        </w:rPr>
        <w:t>万元，包括：人员经费</w:t>
      </w:r>
      <w:r>
        <w:rPr>
          <w:rFonts w:hint="eastAsia" w:ascii="仿宋_GB2312" w:hAnsi="仿宋_GB2312" w:eastAsia="仿宋_GB2312" w:cs="仿宋_GB2312"/>
          <w:sz w:val="32"/>
          <w:szCs w:val="32"/>
          <w:lang w:val="en-US" w:eastAsia="zh-CN"/>
        </w:rPr>
        <w:t>3386.83</w:t>
      </w:r>
      <w:r>
        <w:rPr>
          <w:rFonts w:hint="eastAsia" w:ascii="仿宋_GB2312" w:hAnsi="仿宋_GB2312" w:eastAsia="仿宋_GB2312" w:cs="仿宋_GB2312"/>
          <w:sz w:val="32"/>
          <w:szCs w:val="32"/>
        </w:rPr>
        <w:t>万元和日常公用经费</w:t>
      </w:r>
      <w:r>
        <w:rPr>
          <w:rFonts w:hint="eastAsia" w:ascii="仿宋_GB2312" w:hAnsi="仿宋_GB2312" w:eastAsia="仿宋_GB2312" w:cs="仿宋_GB2312"/>
          <w:sz w:val="32"/>
          <w:szCs w:val="32"/>
          <w:lang w:val="en-US" w:eastAsia="zh-CN"/>
        </w:rPr>
        <w:t>356.10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323.80</w:t>
      </w:r>
      <w:r>
        <w:rPr>
          <w:rFonts w:hint="eastAsia" w:ascii="仿宋_GB2312" w:hAnsi="仿宋_GB2312" w:eastAsia="仿宋_GB2312" w:cs="仿宋_GB2312"/>
          <w:sz w:val="32"/>
          <w:szCs w:val="32"/>
        </w:rPr>
        <w:t>万元，全部为本级支出，主要为冯庄土地租赁经费10.8万元、劳务派遣人员执法巡查经费10万元、胜芳分局办公用房租赁经费67万元、数字城管运行经费24万元、停车保管费用42万元、“门前三包”标志牌及宣传费用</w:t>
      </w:r>
      <w:r>
        <w:rPr>
          <w:rFonts w:hint="eastAsia" w:ascii="仿宋_GB2312" w:hAnsi="仿宋_GB2312" w:eastAsia="仿宋_GB2312" w:cs="仿宋_GB2312"/>
          <w:sz w:val="32"/>
          <w:szCs w:val="32"/>
          <w:lang w:val="en-US" w:eastAsia="zh-CN"/>
        </w:rPr>
        <w:t>16万元、拆除违章建筑及广告牌匾工作经费154万元</w:t>
      </w:r>
      <w:r>
        <w:rPr>
          <w:rFonts w:hint="eastAsia" w:ascii="仿宋_GB2312" w:hAnsi="仿宋_GB2312" w:eastAsia="仿宋_GB2312" w:cs="仿宋_GB2312"/>
          <w:sz w:val="32"/>
          <w:szCs w:val="32"/>
        </w:rPr>
        <w:t>;上缴上级支出0万元，经营支出0万元，对附属单位补助支出0万元。</w:t>
      </w:r>
    </w:p>
    <w:p>
      <w:pPr>
        <w:ind w:firstLine="640"/>
        <w:rPr>
          <w:rFonts w:ascii="楷体" w:hAnsi="楷体" w:eastAsia="楷体" w:cs="楷体"/>
          <w:b/>
          <w:sz w:val="32"/>
          <w:szCs w:val="32"/>
        </w:rPr>
      </w:pPr>
      <w:r>
        <w:rPr>
          <w:rFonts w:hint="eastAsia" w:ascii="楷体" w:hAnsi="楷体" w:eastAsia="楷体" w:cs="楷体"/>
          <w:b/>
          <w:sz w:val="32"/>
          <w:szCs w:val="32"/>
        </w:rPr>
        <w:t>3、比上年增减情况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年预算收支安排</w:t>
      </w:r>
      <w:r>
        <w:rPr>
          <w:rFonts w:hint="eastAsia" w:ascii="仿宋_GB2312" w:hAnsi="仿宋_GB2312" w:eastAsia="仿宋_GB2312" w:cs="仿宋_GB2312"/>
          <w:sz w:val="32"/>
          <w:szCs w:val="32"/>
          <w:lang w:val="en-US" w:eastAsia="zh-CN"/>
        </w:rPr>
        <w:t>4066.73</w:t>
      </w:r>
      <w:r>
        <w:rPr>
          <w:rFonts w:hint="eastAsia" w:ascii="仿宋_GB2312" w:hAnsi="仿宋_GB2312" w:eastAsia="仿宋_GB2312" w:cs="仿宋_GB2312"/>
          <w:sz w:val="32"/>
          <w:szCs w:val="32"/>
        </w:rPr>
        <w:t>万元，较201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306.09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137.19</w:t>
      </w:r>
      <w:r>
        <w:rPr>
          <w:rFonts w:hint="eastAsia" w:ascii="仿宋_GB2312" w:hAnsi="仿宋_GB2312" w:eastAsia="仿宋_GB2312" w:cs="仿宋_GB2312"/>
          <w:sz w:val="32"/>
          <w:szCs w:val="32"/>
        </w:rPr>
        <w:t>万元，主要为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人员经费支出；项目支出</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168.9</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因为</w:t>
      </w:r>
      <w:r>
        <w:rPr>
          <w:rFonts w:hint="eastAsia" w:ascii="仿宋_GB2312" w:hAnsi="仿宋_GB2312" w:eastAsia="仿宋_GB2312" w:cs="仿宋_GB2312"/>
          <w:sz w:val="32"/>
          <w:szCs w:val="32"/>
          <w:lang w:val="en-US" w:eastAsia="zh-CN"/>
        </w:rPr>
        <w:t>2018年度预算中</w:t>
      </w:r>
      <w:r>
        <w:rPr>
          <w:rFonts w:hint="eastAsia" w:ascii="仿宋_GB2312" w:hAnsi="仿宋_GB2312" w:eastAsia="仿宋_GB2312" w:cs="仿宋_GB2312"/>
          <w:sz w:val="32"/>
          <w:szCs w:val="32"/>
        </w:rPr>
        <w:t>电动执法车购置、</w:t>
      </w:r>
      <w:r>
        <w:rPr>
          <w:rFonts w:hint="eastAsia" w:ascii="仿宋_GB2312" w:hAnsi="仿宋_GB2312" w:eastAsia="仿宋_GB2312" w:cs="仿宋_GB2312"/>
          <w:sz w:val="32"/>
          <w:szCs w:val="32"/>
          <w:lang w:eastAsia="zh-CN"/>
        </w:rPr>
        <w:t>采暖锅炉购置、</w:t>
      </w:r>
      <w:r>
        <w:rPr>
          <w:rFonts w:hint="eastAsia" w:ascii="仿宋_GB2312" w:hAnsi="仿宋_GB2312" w:eastAsia="仿宋_GB2312" w:cs="仿宋_GB2312"/>
          <w:sz w:val="32"/>
          <w:szCs w:val="32"/>
        </w:rPr>
        <w:t>执法服装购置</w:t>
      </w:r>
      <w:r>
        <w:rPr>
          <w:rFonts w:hint="eastAsia" w:ascii="仿宋_GB2312" w:hAnsi="仿宋_GB2312" w:eastAsia="仿宋_GB2312" w:cs="仿宋_GB2312"/>
          <w:sz w:val="32"/>
          <w:szCs w:val="32"/>
          <w:lang w:eastAsia="zh-CN"/>
        </w:rPr>
        <w:t>为一次性项目，已完结，本年度增加了</w:t>
      </w:r>
      <w:r>
        <w:rPr>
          <w:rFonts w:hint="eastAsia" w:ascii="仿宋_GB2312" w:hAnsi="仿宋_GB2312" w:eastAsia="仿宋_GB2312" w:cs="仿宋_GB2312"/>
          <w:sz w:val="32"/>
          <w:szCs w:val="32"/>
        </w:rPr>
        <w:t>“门前三包”标志牌及宣传费用</w:t>
      </w:r>
      <w:r>
        <w:rPr>
          <w:rFonts w:hint="eastAsia" w:ascii="仿宋_GB2312" w:hAnsi="仿宋_GB2312" w:eastAsia="仿宋_GB2312" w:cs="仿宋_GB2312"/>
          <w:sz w:val="32"/>
          <w:szCs w:val="32"/>
          <w:lang w:val="en-US" w:eastAsia="zh-CN"/>
        </w:rPr>
        <w:t>、拆除违章建筑及广告牌匾工作经费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w:t>
      </w:r>
    </w:p>
    <w:p>
      <w:pPr>
        <w:autoSpaceDE w:val="0"/>
        <w:autoSpaceDN w:val="0"/>
        <w:adjustRightInd w:val="0"/>
        <w:ind w:firstLine="640" w:firstLineChars="200"/>
        <w:jc w:val="left"/>
        <w:rPr>
          <w:rFonts w:ascii="黑体" w:eastAsia="黑体" w:cs="Times New Roman" w:hAnsiTheme="majorEastAsia"/>
          <w:bCs/>
          <w:sz w:val="32"/>
          <w:szCs w:val="32"/>
        </w:rPr>
      </w:pPr>
      <w:r>
        <w:rPr>
          <w:rFonts w:hint="eastAsia" w:ascii="黑体" w:eastAsia="黑体" w:cs="Times New Roman" w:hAnsiTheme="majorEastAsia"/>
          <w:bCs/>
          <w:sz w:val="32"/>
          <w:szCs w:val="32"/>
        </w:rPr>
        <w:t>三、机关运行经费安排情况</w:t>
      </w:r>
    </w:p>
    <w:p>
      <w:pPr>
        <w:autoSpaceDE w:val="0"/>
        <w:autoSpaceDN w:val="0"/>
        <w:adjustRightInd w:val="0"/>
        <w:ind w:firstLine="640" w:firstLineChars="200"/>
        <w:jc w:val="left"/>
        <w:rPr>
          <w:rFonts w:ascii="仿宋_GB2312" w:eastAsia="仿宋_GB2312" w:cs="Times New Roman" w:hAnsiTheme="majorEastAsia"/>
          <w:sz w:val="32"/>
          <w:szCs w:val="32"/>
        </w:rPr>
      </w:pPr>
      <w:r>
        <w:rPr>
          <w:rFonts w:hint="eastAsia" w:ascii="仿宋_GB2312" w:hAnsi="仿宋_GB2312" w:eastAsia="仿宋_GB2312" w:cs="仿宋_GB2312"/>
          <w:sz w:val="32"/>
          <w:szCs w:val="32"/>
        </w:rPr>
        <w:t>机关运行经费共计安排</w:t>
      </w:r>
      <w:r>
        <w:rPr>
          <w:rFonts w:hint="eastAsia" w:ascii="仿宋_GB2312" w:hAnsi="仿宋_GB2312" w:eastAsia="仿宋_GB2312" w:cs="仿宋_GB2312"/>
          <w:sz w:val="32"/>
          <w:szCs w:val="32"/>
          <w:lang w:val="en-US" w:eastAsia="zh-CN"/>
        </w:rPr>
        <w:t>356.10</w:t>
      </w:r>
      <w:r>
        <w:rPr>
          <w:rFonts w:hint="eastAsia" w:ascii="仿宋_GB2312" w:hAnsi="仿宋_GB2312" w:eastAsia="仿宋_GB2312" w:cs="仿宋_GB2312"/>
          <w:sz w:val="32"/>
          <w:szCs w:val="32"/>
        </w:rPr>
        <w:t>万元，主要用于局内办公区的日常维修、办公用房水电费、办公用房取暖费、办公及印刷费、邮电费、差旅费、福利费、办公用房物业管理费、公务用车运行维护费</w:t>
      </w:r>
      <w:r>
        <w:rPr>
          <w:rFonts w:hint="eastAsia" w:ascii="仿宋_GB2312" w:hAnsi="仿宋_GB2312" w:eastAsia="仿宋_GB2312" w:cs="仿宋_GB2312"/>
          <w:sz w:val="32"/>
          <w:szCs w:val="32"/>
          <w:lang w:eastAsia="zh-CN"/>
        </w:rPr>
        <w:t>、培训费、公务接待费、工会经费</w:t>
      </w:r>
      <w:r>
        <w:rPr>
          <w:rFonts w:hint="eastAsia" w:ascii="仿宋_GB2312" w:hAnsi="仿宋_GB2312" w:eastAsia="仿宋_GB2312" w:cs="仿宋_GB2312"/>
          <w:sz w:val="32"/>
          <w:szCs w:val="32"/>
        </w:rPr>
        <w:t>以及其他费用日常运行支出</w:t>
      </w:r>
      <w:r>
        <w:rPr>
          <w:rFonts w:hint="eastAsia" w:ascii="仿宋" w:hAnsi="仿宋" w:eastAsia="仿宋" w:cs="仿宋"/>
          <w:sz w:val="32"/>
          <w:szCs w:val="32"/>
        </w:rPr>
        <w:t>。</w:t>
      </w:r>
    </w:p>
    <w:p>
      <w:pPr>
        <w:autoSpaceDE w:val="0"/>
        <w:autoSpaceDN w:val="0"/>
        <w:adjustRightInd w:val="0"/>
        <w:ind w:firstLine="640" w:firstLineChars="200"/>
        <w:jc w:val="left"/>
        <w:rPr>
          <w:rFonts w:ascii="黑体" w:eastAsia="黑体" w:cs="Times New Roman" w:hAnsiTheme="majorEastAsia"/>
          <w:bCs/>
          <w:sz w:val="32"/>
          <w:szCs w:val="32"/>
        </w:rPr>
      </w:pPr>
      <w:r>
        <w:rPr>
          <w:rFonts w:hint="eastAsia" w:ascii="黑体" w:eastAsia="黑体" w:cs="Times New Roman" w:hAnsiTheme="majorEastAsia"/>
          <w:bCs/>
          <w:sz w:val="32"/>
          <w:szCs w:val="32"/>
        </w:rPr>
        <w:t>四、财政拨款“三公”经费预算情况及增减变化原因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霸州市城市管理行政执法局“三公”经费预算安排90.44万元，其中因公出国（境）费0万元；公务用车购置及运维费87.5万元（其中：公务用车购置费为0万元，公务用车运行维护费87.5万元)；公务接待费2.94万元，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年“三公”经费</w:t>
      </w:r>
      <w:r>
        <w:rPr>
          <w:rFonts w:hint="eastAsia" w:ascii="仿宋_GB2312" w:hAnsi="仿宋_GB2312" w:eastAsia="仿宋_GB2312" w:cs="仿宋_GB2312"/>
          <w:sz w:val="32"/>
          <w:szCs w:val="32"/>
          <w:lang w:eastAsia="zh-CN"/>
        </w:rPr>
        <w:t>持平，无增减变化</w:t>
      </w:r>
      <w:r>
        <w:rPr>
          <w:rFonts w:hint="eastAsia" w:ascii="仿宋_GB2312" w:hAnsi="仿宋_GB2312" w:eastAsia="仿宋_GB2312" w:cs="仿宋_GB2312"/>
          <w:sz w:val="32"/>
          <w:szCs w:val="32"/>
        </w:rPr>
        <w:t>。</w:t>
      </w:r>
    </w:p>
    <w:p>
      <w:pPr>
        <w:ind w:firstLine="643" w:firstLineChars="200"/>
        <w:rPr>
          <w:rFonts w:ascii="黑体" w:eastAsia="黑体" w:cs="Times New Roman" w:hAnsiTheme="majorEastAsia"/>
          <w:b/>
          <w:sz w:val="32"/>
          <w:szCs w:val="32"/>
        </w:rPr>
      </w:pPr>
      <w:r>
        <w:rPr>
          <w:rFonts w:hint="eastAsia" w:ascii="黑体" w:eastAsia="黑体" w:cs="Times New Roman" w:hAnsiTheme="majorEastAsia"/>
          <w:b/>
          <w:sz w:val="32"/>
          <w:szCs w:val="32"/>
        </w:rPr>
        <w:t>五、绩效预算信息</w:t>
      </w:r>
    </w:p>
    <w:p>
      <w:pPr>
        <w:ind w:firstLine="643" w:firstLineChars="200"/>
        <w:jc w:val="left"/>
        <w:rPr>
          <w:rFonts w:ascii="楷体" w:hAnsi="楷体" w:eastAsia="楷体" w:cs="楷体"/>
          <w:b/>
          <w:sz w:val="32"/>
          <w:szCs w:val="32"/>
        </w:rPr>
      </w:pPr>
      <w:bookmarkStart w:id="0" w:name="_Toc471398463"/>
      <w:r>
        <w:rPr>
          <w:rFonts w:hint="eastAsia" w:ascii="楷体" w:hAnsi="楷体" w:eastAsia="楷体" w:cs="楷体"/>
          <w:b/>
          <w:sz w:val="32"/>
          <w:szCs w:val="32"/>
        </w:rPr>
        <w:t>总体绩效目标：</w:t>
      </w:r>
    </w:p>
    <w:p>
      <w:pPr>
        <w:spacing w:line="60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2019年，我局紧紧围绕市委、市政府中心工作，不断理顺管理体制，破解管理难题，全面提升城市管理品质，为打造市民满意的幸福宜居城市奠定基础。通过抓队伍提高素质和能力，抓创新推动城市管理工作发展，落实精细管理，改善城市容貌，较好的完成了既定任务。现根据工作实际和工作目标，制定2019年各部门发展规划如下。</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sz w:val="32"/>
          <w:szCs w:val="32"/>
        </w:rPr>
        <w:t>保障空气质量，根治露天烧烤。全面清查市区内烧烤实际情况，对每户烧烤商户建立跟踪台帐，根据实际情况设定禁止区、限制区、规范区。禁止区为市区主干道、大型广场、行政单位周边，严禁经营烧烤和露天操作；限制区为次干道、小街巷、居民聚集区，烧烤炉具必须进店经营，安装油烟净化设备；规范区为大型烧烤市场、城市环路及城乡结合部，所有炉灶安装油烟净化设备，保证环境卫生秩序良好。筹建大型烧烤市场，将闲散烧烤商贩、烧烤集中区域的烧烤店统一迁至烧烤市场经营。</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sz w:val="32"/>
          <w:szCs w:val="32"/>
        </w:rPr>
        <w:t>深化综合治理，提升市容环境</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严格落实道路分级管理、队员包门店、“门前三包”等管理制度，深入开展主次干道、重点区域、背街小巷综合治理，集中治理各类城市乱象，全面提升城市管理水平，逐步实现城市管理向 标准化、精细化、常态化转变。</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sz w:val="32"/>
          <w:szCs w:val="32"/>
        </w:rPr>
        <w:t>拓展数字城管，创新服务模式</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完善监管考核机制，形成一套发现及时、反应迅速、处置到位的运行机制，推动城市管理由简单粗放向科学、智能、精细、长效转变。加强巡查力度，提升案件办结率。完善建筑工地视频监控系统，完成市区所有工地的联网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（四）</w:t>
      </w:r>
      <w:r>
        <w:rPr>
          <w:rFonts w:hint="eastAsia" w:ascii="仿宋_GB2312" w:hAnsi="仿宋_GB2312" w:eastAsia="仿宋_GB2312" w:cs="仿宋_GB2312"/>
          <w:sz w:val="32"/>
          <w:szCs w:val="32"/>
        </w:rPr>
        <w:t>强化规划执法，严控私搭乱建</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一是继续保持高压态势，强化大型工地监管。与规划、建设、房管等相关部门协调联动，加大对大型房地产开发项目的监督管理，严厉打击超容积率、少报多建、侵占红线等违法行为。二是结合“一区三边”拆违行动，严控城乡结合部违建行为。加大对城乡结合部、城中村等区域违章建筑的查处和拆除力度，坚持“勤巡查、早发现、快制止、严处理”的工作方针，严控违法建设行为的滋生蔓延。三是积极探索乡镇规划执法管理工作新机制。建立和完善乡镇执法大队，积极协调配合各乡镇，建立起乡镇主管、村街监督、执法部门全程参与的立体网格式监管体系。确保规划管理不留天窗、不留空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（五）</w:t>
      </w:r>
      <w:r>
        <w:rPr>
          <w:rFonts w:hint="eastAsia" w:ascii="仿宋_GB2312" w:hAnsi="仿宋_GB2312" w:eastAsia="仿宋_GB2312" w:cs="仿宋_GB2312"/>
          <w:sz w:val="32"/>
          <w:szCs w:val="32"/>
        </w:rPr>
        <w:t>整合广告资源，靓化美化市容</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一是规范大型广告设置。加强对建筑物楼顶、墙体、灯杆及铁道桥、高速桥桥体广告、大型电子显示屏的监督管理。二是抓好新建小区底商广告设置。三是开展小广告发布平台建设。对信息岛建设进行改良，根据自身实际，在市区校园周边、大型社区、公共广场、公交站台等人流聚集区设置小广告发布信息岛，并对信息发布栏进行统一分栏设计，方便市民张贴合法便民广告信息。</w:t>
      </w:r>
    </w:p>
    <w:p>
      <w:pPr>
        <w:pStyle w:val="11"/>
        <w:spacing w:line="560" w:lineRule="exact"/>
        <w:ind w:firstLine="643"/>
        <w:rPr>
          <w:rFonts w:ascii="仿宋_GB2312" w:eastAsia="仿宋_GB2312"/>
          <w:sz w:val="32"/>
          <w:szCs w:val="32"/>
        </w:rPr>
      </w:pPr>
      <w:r>
        <w:rPr>
          <w:rFonts w:hint="eastAsia" w:ascii="仿宋_GB2312" w:hAnsi="仿宋_GB2312" w:eastAsia="仿宋_GB2312" w:cs="仿宋_GB2312"/>
          <w:b w:val="0"/>
          <w:bCs/>
          <w:sz w:val="32"/>
          <w:szCs w:val="32"/>
          <w:lang w:eastAsia="zh-CN"/>
        </w:rPr>
        <w:t>（六）</w:t>
      </w:r>
      <w:r>
        <w:rPr>
          <w:rFonts w:hint="eastAsia" w:ascii="仿宋_GB2312" w:hAnsi="仿宋_GB2312" w:eastAsia="仿宋_GB2312" w:cs="仿宋_GB2312"/>
          <w:sz w:val="32"/>
          <w:szCs w:val="32"/>
        </w:rPr>
        <w:t>实施重点突破，改善东市区环境</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持续加大对东市区的环境整治力度，在巩固精品示范线建设、环境治理攻坚战治理成果的基础上，重点治理占道经营、整顿广告牌匾、查处违章建筑、建设便民市场、打击非法营运三轮车等工作。</w:t>
      </w:r>
    </w:p>
    <w:p>
      <w:pPr>
        <w:rPr>
          <w:rFonts w:ascii="楷体_GB2312" w:eastAsia="楷体_GB2312" w:cs="Times New Roman" w:hAnsiTheme="majorEastAsia"/>
          <w:b/>
          <w:sz w:val="32"/>
          <w:szCs w:val="32"/>
        </w:rPr>
      </w:pPr>
    </w:p>
    <w:p>
      <w:pPr>
        <w:ind w:firstLine="643" w:firstLineChars="200"/>
        <w:rPr>
          <w:rFonts w:hint="eastAsia" w:ascii="楷体_GB2312" w:eastAsia="楷体_GB2312" w:cs="Times New Roman" w:hAnsiTheme="majorEastAsia"/>
          <w:b/>
          <w:sz w:val="32"/>
          <w:szCs w:val="32"/>
        </w:rPr>
      </w:pPr>
      <w:r>
        <w:rPr>
          <w:rFonts w:hint="eastAsia" w:ascii="楷体_GB2312" w:eastAsia="楷体_GB2312" w:cs="Times New Roman" w:hAnsiTheme="majorEastAsia"/>
          <w:b/>
          <w:sz w:val="32"/>
          <w:szCs w:val="32"/>
        </w:rPr>
        <w:t>部门职责及工作活动绩效目标指标：</w:t>
      </w:r>
      <w:bookmarkEnd w:id="0"/>
      <w:bookmarkStart w:id="1" w:name="_Toc476770359"/>
    </w:p>
    <w:p>
      <w:pPr>
        <w:spacing w:line="60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职责分类绩效目标：</w:t>
      </w:r>
    </w:p>
    <w:p>
      <w:pPr>
        <w:numPr>
          <w:ilvl w:val="0"/>
          <w:numId w:val="1"/>
        </w:numPr>
        <w:spacing w:line="600" w:lineRule="exact"/>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综合整治市容秩序，不断优化人居环境。</w:t>
      </w:r>
      <w:r>
        <w:rPr>
          <w:rFonts w:hint="eastAsia" w:ascii="仿宋_GB2312" w:hAnsi="仿宋_GB2312" w:eastAsia="仿宋_GB2312" w:cs="仿宋_GB2312"/>
          <w:kern w:val="2"/>
          <w:sz w:val="32"/>
          <w:szCs w:val="32"/>
          <w:lang w:val="zh-CN" w:eastAsia="zh-CN" w:bidi="ar-SA"/>
        </w:rPr>
        <w:t>主次干道、重点区域、校园周边、背街小巷分级管理。东西市区、开发区主干道两侧无流动摊点、店外售货、店外加工修理、落地灯箱、乱堆乱放、乱贴乱画，非机动车划线定位摆放整齐，户外广告牌匾设置统一有序，集贸市场摊点全部纳入市场统一经营；次干道、小街巷、城乡结合部强化管理，有效提升管理水平和管理效果。</w:t>
      </w:r>
    </w:p>
    <w:p>
      <w:p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（二）拆除违法建筑，维护规划建设秩序。加大拆违、控违工作力度，以点带片、以片促面，全面拆除影响城市环境秩序的违法建筑、私搭乱建设施，协助相关乡镇、部门全面清理各类“小产权房”。</w:t>
      </w:r>
    </w:p>
    <w:p>
      <w:p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开展大气污染防治工作，持续改善空气质量。市区主次干道两侧取缔全部露天烧烤摊点，对烧烤门店集中区域进行强化管控，所有烧烤炉具全部入室。加强工地及渣土运输公司的管理，联合交警、环卫执法等部门，严厉打击违法违规渣土运输车辆，所有渣土运输必须使用有资质的渣土运输公司通过改装合格的渣土运输车规范清洁运输。对违规上路渣土车一律依法进行处罚。</w:t>
      </w:r>
    </w:p>
    <w:p>
      <w:pPr>
        <w:spacing w:line="60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改造升级数字化城管平台，积极探索智慧化城市建设。对指挥系统软件、移动执法部件，以及中心软硬件进行集中升级，满足现有管理需求。推进“霸州生活”APP的运行推广，采取多种形式开展“霸州生活”APP的推广工作，引导群众关注使用“霸州生活”APP客户端，确保APP客户端的高效实质运行，促进智慧化城市建设工作，为市民群众的生活提供更多便捷。</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kern w:val="2"/>
          <w:sz w:val="32"/>
          <w:szCs w:val="32"/>
          <w:lang w:val="en-US" w:eastAsia="zh-CN" w:bidi="ar-SA"/>
        </w:rPr>
        <w:t>（五）锤炼执法队伍，不断理顺管理机制。进一步建立健全全局绩效考核、机关考勤、请销假、队伍培训等各项规章制度，规范执法程序，不断提升执法人员综合素质。加快推进城市管理体制机制改革，根据上级会议和文件要求，明确执法范围，理顺管理体制，匡定管理职责，构建权责明晰、服务优先、管理优化、执法规范、安全有序的城市管理体制。积极探索城市管理新模式，下移管理重心，通过派驻执法人员，指导、协调、规范乡镇综合执法，逐步推进城市管理综合执法向乡镇延伸，推进城乡统筹发展。</w:t>
      </w:r>
    </w:p>
    <w:p>
      <w:pPr>
        <w:jc w:val="center"/>
        <w:outlineLvl w:val="0"/>
        <w:rPr>
          <w:rFonts w:ascii="方正仿宋_GBK" w:eastAsia="方正仿宋_GBK" w:hAnsiTheme="majorEastAsia"/>
          <w:sz w:val="32"/>
        </w:rPr>
      </w:pPr>
      <w:r>
        <w:rPr>
          <w:rFonts w:hint="eastAsia" w:ascii="方正仿宋_GBK" w:eastAsia="方正仿宋_GBK" w:hAnsiTheme="majorEastAsia"/>
          <w:sz w:val="32"/>
        </w:rPr>
        <w:t>部门职责-工作活动绩效目标</w:t>
      </w:r>
      <w:bookmarkEnd w:id="1"/>
    </w:p>
    <w:tbl>
      <w:tblPr>
        <w:tblStyle w:val="6"/>
        <w:tblW w:w="141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3"/>
        <w:gridCol w:w="1292"/>
        <w:gridCol w:w="3015"/>
        <w:gridCol w:w="3015"/>
        <w:gridCol w:w="1437"/>
        <w:gridCol w:w="746"/>
        <w:gridCol w:w="746"/>
        <w:gridCol w:w="746"/>
        <w:gridCol w:w="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tblHeader/>
          <w:jc w:val="center"/>
        </w:trPr>
        <w:tc>
          <w:tcPr>
            <w:tcW w:w="11132"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仿宋_GBK" w:eastAsia="方正仿宋_GBK" w:hAnsiTheme="majorEastAsia"/>
                <w:sz w:val="24"/>
              </w:rPr>
            </w:pPr>
            <w:r>
              <w:rPr>
                <w:rFonts w:hint="eastAsia" w:ascii="方正仿宋_GBK" w:eastAsia="方正仿宋_GBK" w:hAnsiTheme="majorEastAsia"/>
                <w:sz w:val="24"/>
              </w:rPr>
              <w:t>814霸州市城市管理行政执法局</w:t>
            </w:r>
          </w:p>
        </w:tc>
        <w:tc>
          <w:tcPr>
            <w:tcW w:w="2989"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仿宋_GBK" w:eastAsia="方正仿宋_GBK" w:hAnsiTheme="majorEastAsia"/>
                <w:sz w:val="24"/>
              </w:rPr>
            </w:pPr>
            <w:r>
              <w:rPr>
                <w:rFonts w:hint="eastAsia" w:ascii="方正仿宋_GBK" w:eastAsia="方正仿宋_GBK" w:hAnsiTheme="majorEastAsia"/>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tblHeader/>
          <w:jc w:val="center"/>
        </w:trPr>
        <w:tc>
          <w:tcPr>
            <w:tcW w:w="2373"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职责活动</w:t>
            </w:r>
          </w:p>
        </w:tc>
        <w:tc>
          <w:tcPr>
            <w:tcW w:w="1292"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年度预算数</w:t>
            </w:r>
          </w:p>
        </w:tc>
        <w:tc>
          <w:tcPr>
            <w:tcW w:w="3015"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内容描述</w:t>
            </w:r>
          </w:p>
        </w:tc>
        <w:tc>
          <w:tcPr>
            <w:tcW w:w="3015"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绩效目标</w:t>
            </w:r>
          </w:p>
        </w:tc>
        <w:tc>
          <w:tcPr>
            <w:tcW w:w="1437" w:type="dxa"/>
            <w:vMerge w:val="restart"/>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绩效指标</w:t>
            </w:r>
          </w:p>
        </w:tc>
        <w:tc>
          <w:tcPr>
            <w:tcW w:w="2989" w:type="dxa"/>
            <w:gridSpan w:val="4"/>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tblHeader/>
          <w:jc w:val="center"/>
        </w:trPr>
        <w:tc>
          <w:tcPr>
            <w:tcW w:w="2373"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1292"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3015"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3015"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1437" w:type="dxa"/>
            <w:vMerge w:val="continue"/>
            <w:shd w:val="clear" w:color="auto" w:fill="auto"/>
            <w:vAlign w:val="center"/>
          </w:tcPr>
          <w:p>
            <w:pPr>
              <w:spacing w:line="300" w:lineRule="exact"/>
              <w:jc w:val="left"/>
              <w:outlineLvl w:val="0"/>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优</w:t>
            </w:r>
          </w:p>
        </w:tc>
        <w:tc>
          <w:tcPr>
            <w:tcW w:w="746" w:type="dxa"/>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良</w:t>
            </w:r>
          </w:p>
        </w:tc>
        <w:tc>
          <w:tcPr>
            <w:tcW w:w="746" w:type="dxa"/>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中</w:t>
            </w:r>
          </w:p>
        </w:tc>
        <w:tc>
          <w:tcPr>
            <w:tcW w:w="751" w:type="dxa"/>
            <w:shd w:val="clear" w:color="auto" w:fill="auto"/>
            <w:vAlign w:val="center"/>
          </w:tcPr>
          <w:p>
            <w:pPr>
              <w:spacing w:line="300" w:lineRule="exact"/>
              <w:jc w:val="center"/>
              <w:rPr>
                <w:rFonts w:ascii="方正仿宋_GBK" w:eastAsia="方正仿宋_GBK" w:hAnsiTheme="majorEastAsia"/>
                <w:b/>
              </w:rPr>
            </w:pPr>
            <w:r>
              <w:rPr>
                <w:rFonts w:hint="eastAsia" w:ascii="方正仿宋_GBK" w:eastAsia="方正仿宋_GBK" w:hAnsiTheme="majorEastAsia"/>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lang w:eastAsia="zh-CN"/>
              </w:rPr>
              <w:t>一、</w:t>
            </w:r>
            <w:r>
              <w:rPr>
                <w:rFonts w:hint="eastAsia" w:ascii="方正仿宋_GBK" w:eastAsia="方正仿宋_GBK" w:hAnsiTheme="majorEastAsia"/>
                <w:b/>
              </w:rPr>
              <w:t>市容环境卫生方面执法管理</w:t>
            </w:r>
          </w:p>
        </w:tc>
        <w:tc>
          <w:tcPr>
            <w:tcW w:w="1292" w:type="dxa"/>
            <w:shd w:val="clear" w:color="auto" w:fill="auto"/>
            <w:vAlign w:val="center"/>
          </w:tcPr>
          <w:p>
            <w:pPr>
              <w:spacing w:line="300" w:lineRule="exact"/>
              <w:jc w:val="left"/>
              <w:rPr>
                <w:rFonts w:hint="eastAsia" w:ascii="方正仿宋_GBK" w:eastAsia="方正仿宋_GBK" w:hAnsiTheme="majorEastAsia"/>
                <w:lang w:val="en-US" w:eastAsia="zh-CN"/>
              </w:rPr>
            </w:pPr>
            <w:r>
              <w:rPr>
                <w:rFonts w:hint="eastAsia" w:ascii="方正仿宋_GBK" w:eastAsia="方正仿宋_GBK" w:hAnsiTheme="majorEastAsia"/>
                <w:lang w:val="en-US" w:eastAsia="zh-CN"/>
              </w:rPr>
              <w:t>127.8</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贯彻实施国家及本市有关城市管理方面的法律、法规及规章，治理和维护城市管理秩序。依法行使市容环卫、城乡规划、城市绿化、工商行政、市政设施、环境保护、交通运输等方面的全部或部分行政处罚权。</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依法依规拟定全市城市管理规整制度并付诸实施；维护良好市容秩序，维护城市良好形象；提高市民城市意识和文明素质。</w:t>
            </w:r>
          </w:p>
        </w:tc>
        <w:tc>
          <w:tcPr>
            <w:tcW w:w="1437" w:type="dxa"/>
            <w:shd w:val="clear" w:color="auto" w:fill="auto"/>
            <w:vAlign w:val="center"/>
          </w:tcPr>
          <w:p>
            <w:pPr>
              <w:spacing w:line="300" w:lineRule="exact"/>
              <w:jc w:val="left"/>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51" w:type="dxa"/>
            <w:shd w:val="clear" w:color="auto" w:fill="auto"/>
            <w:vAlign w:val="center"/>
          </w:tcPr>
          <w:p>
            <w:pPr>
              <w:spacing w:line="300" w:lineRule="exact"/>
              <w:jc w:val="center"/>
              <w:rPr>
                <w:rFonts w:ascii="方正仿宋_GBK" w:eastAsia="方正仿宋_GBK" w:hAnsiTheme="maj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　</w:t>
            </w:r>
            <w:r>
              <w:rPr>
                <w:rFonts w:hint="eastAsia" w:ascii="方正仿宋_GBK" w:eastAsia="方正仿宋_GBK" w:hAnsiTheme="majorEastAsia"/>
                <w:b/>
                <w:lang w:val="en-US" w:eastAsia="zh-CN"/>
              </w:rPr>
              <w:t xml:space="preserve"> 9、</w:t>
            </w:r>
            <w:r>
              <w:rPr>
                <w:rFonts w:hint="eastAsia" w:ascii="方正仿宋_GBK" w:eastAsia="方正仿宋_GBK" w:hAnsiTheme="majorEastAsia"/>
                <w:b/>
              </w:rPr>
              <w:t>流动摊点、临时市场日常监督</w:t>
            </w:r>
          </w:p>
        </w:tc>
        <w:tc>
          <w:tcPr>
            <w:tcW w:w="1292" w:type="dxa"/>
            <w:shd w:val="clear" w:color="auto" w:fill="auto"/>
            <w:vAlign w:val="center"/>
          </w:tcPr>
          <w:p>
            <w:pPr>
              <w:spacing w:line="300" w:lineRule="exact"/>
              <w:jc w:val="left"/>
              <w:rPr>
                <w:rFonts w:hint="eastAsia" w:ascii="方正仿宋_GBK" w:eastAsia="方正仿宋_GBK" w:hAnsiTheme="majorEastAsia"/>
                <w:lang w:val="en-US" w:eastAsia="zh-CN"/>
              </w:rPr>
            </w:pPr>
            <w:r>
              <w:rPr>
                <w:rFonts w:hint="eastAsia" w:ascii="方正仿宋_GBK" w:eastAsia="方正仿宋_GBK" w:hAnsiTheme="majorEastAsia"/>
                <w:lang w:val="en-US" w:eastAsia="zh-CN"/>
              </w:rPr>
              <w:t>20.80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科学制定道路管理等级标准，采取疏堵结合原则，严格对流动摊点和临时市场监管，严禁出现非法聚集占道，堵塞交通现象发生。</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加大治理和宣传力度，做到早发现、早治理，做到既方便群众生活，又不扰民和影响交通。禁止出现占道摊群、占道早市和夜市现象。</w:t>
            </w:r>
          </w:p>
        </w:tc>
        <w:tc>
          <w:tcPr>
            <w:tcW w:w="1437"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专项检查次数和违法处理情况</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35</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30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25</w:t>
            </w:r>
          </w:p>
        </w:tc>
        <w:tc>
          <w:tcPr>
            <w:tcW w:w="751"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0" w:hRule="atLeast"/>
          <w:jc w:val="center"/>
        </w:trPr>
        <w:tc>
          <w:tcPr>
            <w:tcW w:w="2373" w:type="dxa"/>
            <w:shd w:val="clear" w:color="auto" w:fill="auto"/>
            <w:vAlign w:val="center"/>
          </w:tcPr>
          <w:p>
            <w:pPr>
              <w:spacing w:line="300" w:lineRule="exact"/>
              <w:jc w:val="center"/>
              <w:rPr>
                <w:rFonts w:hint="eastAsia" w:ascii="方正仿宋_GBK" w:eastAsia="方正仿宋_GBK" w:hAnsiTheme="majorEastAsia"/>
                <w:b/>
              </w:rPr>
            </w:pPr>
            <w:r>
              <w:rPr>
                <w:rFonts w:hint="eastAsia" w:ascii="方正仿宋_GBK" w:eastAsia="方正仿宋_GBK" w:hAnsiTheme="majorEastAsia"/>
                <w:b/>
              </w:rPr>
              <w:t>10、门前秩序管理</w:t>
            </w:r>
          </w:p>
        </w:tc>
        <w:tc>
          <w:tcPr>
            <w:tcW w:w="1292" w:type="dxa"/>
            <w:shd w:val="clear" w:color="auto" w:fill="auto"/>
            <w:vAlign w:val="center"/>
          </w:tcPr>
          <w:p>
            <w:pPr>
              <w:spacing w:line="300" w:lineRule="exact"/>
              <w:jc w:val="left"/>
              <w:rPr>
                <w:rFonts w:hint="eastAsia" w:ascii="方正仿宋_GBK" w:eastAsia="方正仿宋_GBK" w:hAnsiTheme="majorEastAsia"/>
                <w:lang w:val="en-US" w:eastAsia="zh-CN"/>
              </w:rPr>
            </w:pPr>
            <w:r>
              <w:rPr>
                <w:rFonts w:hint="eastAsia" w:ascii="方正仿宋_GBK" w:eastAsia="方正仿宋_GBK" w:hAnsiTheme="majorEastAsia"/>
                <w:lang w:val="en-US" w:eastAsia="zh-CN"/>
              </w:rPr>
              <w:t>16.00</w:t>
            </w:r>
          </w:p>
        </w:tc>
        <w:tc>
          <w:tcPr>
            <w:tcW w:w="3015" w:type="dxa"/>
            <w:shd w:val="clear" w:color="auto" w:fill="auto"/>
            <w:vAlign w:val="center"/>
          </w:tcPr>
          <w:p>
            <w:pPr>
              <w:spacing w:line="300" w:lineRule="exact"/>
              <w:jc w:val="left"/>
              <w:rPr>
                <w:rFonts w:hint="eastAsia" w:ascii="方正仿宋_GBK" w:eastAsia="方正仿宋_GBK" w:hAnsiTheme="majorEastAsia"/>
              </w:rPr>
            </w:pPr>
            <w:r>
              <w:rPr>
                <w:rFonts w:hint="eastAsia" w:ascii="方正仿宋_GBK" w:eastAsia="方正仿宋_GBK" w:hAnsiTheme="majorEastAsia"/>
              </w:rPr>
              <w:t>与公安交通部门联手，加大对便道乱停乱放车辆治理；落实“门前五包”责任制，及时纠正违章行为，情节严重者予以处罚。</w:t>
            </w:r>
          </w:p>
        </w:tc>
        <w:tc>
          <w:tcPr>
            <w:tcW w:w="3015" w:type="dxa"/>
            <w:shd w:val="clear" w:color="auto" w:fill="auto"/>
            <w:vAlign w:val="center"/>
          </w:tcPr>
          <w:p>
            <w:pPr>
              <w:spacing w:line="300" w:lineRule="exact"/>
              <w:jc w:val="left"/>
              <w:rPr>
                <w:rFonts w:hint="eastAsia" w:ascii="方正仿宋_GBK" w:eastAsia="方正仿宋_GBK" w:hAnsiTheme="majorEastAsia"/>
              </w:rPr>
            </w:pPr>
            <w:r>
              <w:rPr>
                <w:rFonts w:hint="eastAsia" w:ascii="方正仿宋_GBK" w:eastAsia="方正仿宋_GBK" w:hAnsiTheme="majorEastAsia"/>
              </w:rPr>
              <w:t>通过日常监管治理，及时纠正处理占压便道行为，严禁私设乱占行为发生，方便群众生活，美化城市环境。</w:t>
            </w:r>
          </w:p>
        </w:tc>
        <w:tc>
          <w:tcPr>
            <w:tcW w:w="1437" w:type="dxa"/>
            <w:shd w:val="clear" w:color="auto" w:fill="auto"/>
            <w:vAlign w:val="center"/>
          </w:tcPr>
          <w:p>
            <w:pPr>
              <w:spacing w:line="300" w:lineRule="exact"/>
              <w:jc w:val="left"/>
              <w:rPr>
                <w:rFonts w:hint="eastAsia" w:ascii="方正仿宋_GBK" w:eastAsia="方正仿宋_GBK" w:hAnsiTheme="majorEastAsia"/>
              </w:rPr>
            </w:pPr>
            <w:r>
              <w:rPr>
                <w:rFonts w:hint="eastAsia" w:ascii="方正仿宋_GBK" w:eastAsia="方正仿宋_GBK" w:hAnsiTheme="majorEastAsia"/>
              </w:rPr>
              <w:t>专项检查次数和违法处理情况</w:t>
            </w:r>
          </w:p>
        </w:tc>
        <w:tc>
          <w:tcPr>
            <w:tcW w:w="746" w:type="dxa"/>
            <w:shd w:val="clear" w:color="auto" w:fill="auto"/>
            <w:vAlign w:val="center"/>
          </w:tcPr>
          <w:p>
            <w:pPr>
              <w:spacing w:line="300" w:lineRule="exact"/>
              <w:jc w:val="center"/>
              <w:rPr>
                <w:rFonts w:hint="eastAsia" w:ascii="方正仿宋_GBK" w:eastAsia="方正仿宋_GBK" w:hAnsiTheme="majorEastAsia"/>
                <w:lang w:val="en-US" w:eastAsia="zh-CN"/>
              </w:rPr>
            </w:pPr>
            <w:r>
              <w:rPr>
                <w:rFonts w:hint="eastAsia" w:ascii="方正仿宋_GBK" w:eastAsia="方正仿宋_GBK" w:hAnsiTheme="majorEastAsia"/>
                <w:lang w:val="en-US" w:eastAsia="zh-CN"/>
              </w:rPr>
              <w:t>50</w:t>
            </w:r>
          </w:p>
        </w:tc>
        <w:tc>
          <w:tcPr>
            <w:tcW w:w="746" w:type="dxa"/>
            <w:shd w:val="clear" w:color="auto" w:fill="auto"/>
            <w:vAlign w:val="center"/>
          </w:tcPr>
          <w:p>
            <w:pPr>
              <w:spacing w:line="300" w:lineRule="exact"/>
              <w:jc w:val="center"/>
              <w:rPr>
                <w:rFonts w:hint="eastAsia" w:ascii="方正仿宋_GBK" w:eastAsia="方正仿宋_GBK" w:hAnsiTheme="majorEastAsia"/>
                <w:lang w:val="en-US" w:eastAsia="zh-CN"/>
              </w:rPr>
            </w:pPr>
            <w:r>
              <w:rPr>
                <w:rFonts w:hint="eastAsia" w:ascii="方正仿宋_GBK" w:eastAsia="方正仿宋_GBK" w:hAnsiTheme="majorEastAsia"/>
                <w:lang w:val="en-US" w:eastAsia="zh-CN"/>
              </w:rPr>
              <w:t>40</w:t>
            </w:r>
          </w:p>
        </w:tc>
        <w:tc>
          <w:tcPr>
            <w:tcW w:w="746" w:type="dxa"/>
            <w:shd w:val="clear" w:color="auto" w:fill="auto"/>
            <w:vAlign w:val="center"/>
          </w:tcPr>
          <w:p>
            <w:pPr>
              <w:spacing w:line="300" w:lineRule="exact"/>
              <w:jc w:val="center"/>
              <w:rPr>
                <w:rFonts w:hint="eastAsia" w:ascii="方正仿宋_GBK" w:eastAsia="方正仿宋_GBK" w:hAnsiTheme="majorEastAsia"/>
                <w:lang w:val="en-US" w:eastAsia="zh-CN"/>
              </w:rPr>
            </w:pPr>
            <w:r>
              <w:rPr>
                <w:rFonts w:hint="eastAsia" w:ascii="方正仿宋_GBK" w:eastAsia="方正仿宋_GBK" w:hAnsiTheme="majorEastAsia"/>
                <w:lang w:val="en-US" w:eastAsia="zh-CN"/>
              </w:rPr>
              <w:t>30</w:t>
            </w:r>
          </w:p>
        </w:tc>
        <w:tc>
          <w:tcPr>
            <w:tcW w:w="751" w:type="dxa"/>
            <w:shd w:val="clear" w:color="auto" w:fill="auto"/>
            <w:vAlign w:val="center"/>
          </w:tcPr>
          <w:p>
            <w:pPr>
              <w:spacing w:line="300" w:lineRule="exact"/>
              <w:jc w:val="center"/>
              <w:rPr>
                <w:rFonts w:hint="eastAsia" w:ascii="方正仿宋_GBK" w:eastAsia="方正仿宋_GBK" w:hAnsiTheme="majorEastAsia"/>
              </w:rPr>
            </w:pPr>
          </w:p>
          <w:p>
            <w:pPr>
              <w:jc w:val="left"/>
              <w:rPr>
                <w:rFonts w:hint="eastAsia" w:ascii="方正仿宋_GBK" w:eastAsia="方正仿宋_GBK" w:hAnsiTheme="majorEastAsia" w:cstheme="minorBidi"/>
                <w:kern w:val="2"/>
                <w:sz w:val="21"/>
                <w:szCs w:val="22"/>
                <w:lang w:val="en-US" w:eastAsia="zh-CN" w:bidi="ar-SA"/>
              </w:rPr>
            </w:pPr>
            <w:r>
              <w:rPr>
                <w:rFonts w:hint="eastAsia" w:ascii="方正仿宋_GBK" w:eastAsia="方正仿宋_GBK" w:hAnsiTheme="majorEastAsia"/>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　</w:t>
            </w:r>
            <w:r>
              <w:rPr>
                <w:rFonts w:hint="eastAsia" w:ascii="方正仿宋_GBK" w:eastAsia="方正仿宋_GBK" w:hAnsiTheme="majorEastAsia"/>
                <w:b/>
                <w:lang w:val="en-US" w:eastAsia="zh-CN"/>
              </w:rPr>
              <w:t>14、</w:t>
            </w:r>
            <w:r>
              <w:rPr>
                <w:rFonts w:hint="eastAsia" w:ascii="方正仿宋_GBK" w:eastAsia="方正仿宋_GBK" w:hAnsiTheme="majorEastAsia"/>
                <w:b/>
              </w:rPr>
              <w:t>综合事务管理</w:t>
            </w:r>
          </w:p>
        </w:tc>
        <w:tc>
          <w:tcPr>
            <w:tcW w:w="1292" w:type="dxa"/>
            <w:shd w:val="clear" w:color="auto" w:fill="auto"/>
            <w:vAlign w:val="center"/>
          </w:tcPr>
          <w:p>
            <w:pPr>
              <w:spacing w:line="300" w:lineRule="exact"/>
              <w:jc w:val="left"/>
              <w:rPr>
                <w:rFonts w:hint="eastAsia" w:ascii="方正仿宋_GBK" w:eastAsia="方正仿宋_GBK" w:hAnsiTheme="majorEastAsia"/>
                <w:lang w:val="en-US" w:eastAsia="zh-CN"/>
              </w:rPr>
            </w:pPr>
            <w:r>
              <w:rPr>
                <w:rFonts w:hint="eastAsia" w:ascii="方正仿宋_GBK" w:eastAsia="方正仿宋_GBK" w:hAnsiTheme="majorEastAsia"/>
                <w:lang w:val="en-US" w:eastAsia="zh-CN"/>
              </w:rPr>
              <w:t>67.00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综合执法工作运转保障，包括会议组织、政务督办、档案管理、信访接待、政务信息、行政复议、对外宣传、干部培训、调研活动等行政事务；开展政府信息公开、行政许可事项受理、信息化建设、机关财务和资产管理、基建及维修等管理</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保障机关工作正常工作高效运转</w:t>
            </w:r>
          </w:p>
        </w:tc>
        <w:tc>
          <w:tcPr>
            <w:tcW w:w="1437"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综合事务保障率</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90%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80%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70%</w:t>
            </w:r>
          </w:p>
        </w:tc>
        <w:tc>
          <w:tcPr>
            <w:tcW w:w="751"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　</w:t>
            </w:r>
            <w:r>
              <w:rPr>
                <w:rFonts w:hint="eastAsia" w:ascii="方正仿宋_GBK" w:eastAsia="方正仿宋_GBK" w:hAnsiTheme="majorEastAsia"/>
                <w:b/>
                <w:lang w:val="en-US" w:eastAsia="zh-CN"/>
              </w:rPr>
              <w:t>15、</w:t>
            </w:r>
            <w:r>
              <w:rPr>
                <w:rFonts w:hint="eastAsia" w:ascii="方正仿宋_GBK" w:eastAsia="方正仿宋_GBK" w:hAnsiTheme="majorEastAsia"/>
                <w:b/>
              </w:rPr>
              <w:t>数字城管日常运行及维护</w:t>
            </w:r>
          </w:p>
        </w:tc>
        <w:tc>
          <w:tcPr>
            <w:tcW w:w="1292"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24.00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搭建全局性的信息共享平台，实现实时定位、指挥、督查及信息反馈。</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确保数字城管中心正常运行，有效提高工作效率</w:t>
            </w:r>
          </w:p>
        </w:tc>
        <w:tc>
          <w:tcPr>
            <w:tcW w:w="1437"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案件结案率、处置率</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90%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80%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70%</w:t>
            </w:r>
          </w:p>
        </w:tc>
        <w:tc>
          <w:tcPr>
            <w:tcW w:w="751"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lang w:eastAsia="zh-CN"/>
              </w:rPr>
              <w:t>三、</w:t>
            </w:r>
            <w:r>
              <w:rPr>
                <w:rFonts w:hint="eastAsia" w:ascii="方正仿宋_GBK" w:eastAsia="方正仿宋_GBK" w:hAnsiTheme="majorEastAsia"/>
                <w:b/>
              </w:rPr>
              <w:t>城乡建设管理</w:t>
            </w:r>
          </w:p>
        </w:tc>
        <w:tc>
          <w:tcPr>
            <w:tcW w:w="1292" w:type="dxa"/>
            <w:shd w:val="clear" w:color="auto" w:fill="auto"/>
            <w:vAlign w:val="center"/>
          </w:tcPr>
          <w:p>
            <w:pPr>
              <w:spacing w:line="300" w:lineRule="exact"/>
              <w:jc w:val="left"/>
              <w:rPr>
                <w:rFonts w:hint="eastAsia" w:ascii="方正仿宋_GBK" w:eastAsia="方正仿宋_GBK" w:hAnsiTheme="majorEastAsia"/>
                <w:lang w:val="en-US" w:eastAsia="zh-CN"/>
              </w:rPr>
            </w:pPr>
            <w:r>
              <w:rPr>
                <w:rFonts w:hint="eastAsia" w:ascii="方正仿宋_GBK" w:eastAsia="方正仿宋_GBK" w:hAnsiTheme="majorEastAsia"/>
                <w:lang w:val="en-US" w:eastAsia="zh-CN"/>
              </w:rPr>
              <w:t>196.00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指导城市市政公用设施建设、安全和应急管理；拟定风景名胜区的发展规划、政策并指导实施；拟定村庄和小城镇建设政策并指导实施；指导镇、乡村庄规划的编制和实施；指导农村住房建设、住房安全和危房改造；改善小城镇和村庄人居环境；指导做好国家级重点镇及市级重点镇的建设。</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加强管理，提高城市承载能力和宜居度。加强村镇建设，改善农村人居环境，实现城乡统筹发展。协调和指导推进城镇化工作，加快城镇化进程。指导城市建设投融资体制改革，破解融资难题。</w:t>
            </w:r>
          </w:p>
        </w:tc>
        <w:tc>
          <w:tcPr>
            <w:tcW w:w="1437" w:type="dxa"/>
            <w:shd w:val="clear" w:color="auto" w:fill="auto"/>
            <w:vAlign w:val="center"/>
          </w:tcPr>
          <w:p>
            <w:pPr>
              <w:spacing w:line="300" w:lineRule="exact"/>
              <w:jc w:val="left"/>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46" w:type="dxa"/>
            <w:shd w:val="clear" w:color="auto" w:fill="auto"/>
            <w:vAlign w:val="center"/>
          </w:tcPr>
          <w:p>
            <w:pPr>
              <w:spacing w:line="300" w:lineRule="exact"/>
              <w:jc w:val="center"/>
              <w:rPr>
                <w:rFonts w:ascii="方正仿宋_GBK" w:eastAsia="方正仿宋_GBK" w:hAnsiTheme="majorEastAsia"/>
              </w:rPr>
            </w:pPr>
          </w:p>
        </w:tc>
        <w:tc>
          <w:tcPr>
            <w:tcW w:w="751" w:type="dxa"/>
            <w:shd w:val="clear" w:color="auto" w:fill="auto"/>
            <w:vAlign w:val="center"/>
          </w:tcPr>
          <w:p>
            <w:pPr>
              <w:spacing w:line="300" w:lineRule="exact"/>
              <w:jc w:val="center"/>
              <w:rPr>
                <w:rFonts w:ascii="方正仿宋_GBK" w:eastAsia="方正仿宋_GBK" w:hAnsiTheme="maj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atLeast"/>
          <w:jc w:val="center"/>
        </w:trPr>
        <w:tc>
          <w:tcPr>
            <w:tcW w:w="2373" w:type="dxa"/>
            <w:shd w:val="clear" w:color="auto" w:fill="auto"/>
            <w:vAlign w:val="center"/>
          </w:tcPr>
          <w:p>
            <w:pPr>
              <w:spacing w:line="300" w:lineRule="exact"/>
              <w:jc w:val="left"/>
              <w:rPr>
                <w:rFonts w:ascii="方正仿宋_GBK" w:eastAsia="方正仿宋_GBK" w:hAnsiTheme="majorEastAsia"/>
                <w:b/>
              </w:rPr>
            </w:pPr>
            <w:r>
              <w:rPr>
                <w:rFonts w:hint="eastAsia" w:ascii="方正仿宋_GBK" w:eastAsia="方正仿宋_GBK" w:hAnsiTheme="majorEastAsia"/>
                <w:b/>
              </w:rPr>
              <w:t>　　</w:t>
            </w:r>
            <w:r>
              <w:rPr>
                <w:rFonts w:hint="eastAsia" w:ascii="方正仿宋_GBK" w:eastAsia="方正仿宋_GBK" w:hAnsiTheme="majorEastAsia"/>
                <w:b/>
                <w:lang w:val="en-US" w:eastAsia="zh-CN"/>
              </w:rPr>
              <w:t>2、</w:t>
            </w:r>
            <w:r>
              <w:rPr>
                <w:rFonts w:hint="eastAsia" w:ascii="方正仿宋_GBK" w:eastAsia="方正仿宋_GBK" w:hAnsiTheme="majorEastAsia"/>
                <w:b/>
              </w:rPr>
              <w:t>城市容貌环境综合整治</w:t>
            </w:r>
          </w:p>
        </w:tc>
        <w:tc>
          <w:tcPr>
            <w:tcW w:w="1292"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lang w:val="en-US" w:eastAsia="zh-CN"/>
              </w:rPr>
              <w:t>196</w:t>
            </w:r>
            <w:r>
              <w:rPr>
                <w:rFonts w:hint="eastAsia" w:ascii="方正仿宋_GBK" w:eastAsia="方正仿宋_GBK" w:hAnsiTheme="majorEastAsia"/>
              </w:rPr>
              <w:t>.00</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指导城市市容环境治理、城建监察、数字化城市管理系统平台建设及运行等各项工作，加强餐厨废弃物管理，改善人居环境，大气污染治理。</w:t>
            </w:r>
          </w:p>
        </w:tc>
        <w:tc>
          <w:tcPr>
            <w:tcW w:w="3015"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加快数字化城管平台建设，实现城市管理信息化</w:t>
            </w:r>
          </w:p>
        </w:tc>
        <w:tc>
          <w:tcPr>
            <w:tcW w:w="1437" w:type="dxa"/>
            <w:shd w:val="clear" w:color="auto" w:fill="auto"/>
            <w:vAlign w:val="center"/>
          </w:tcPr>
          <w:p>
            <w:pPr>
              <w:spacing w:line="300" w:lineRule="exact"/>
              <w:jc w:val="left"/>
              <w:rPr>
                <w:rFonts w:ascii="方正仿宋_GBK" w:eastAsia="方正仿宋_GBK" w:hAnsiTheme="majorEastAsia"/>
              </w:rPr>
            </w:pPr>
            <w:r>
              <w:rPr>
                <w:rFonts w:hint="eastAsia" w:ascii="方正仿宋_GBK" w:eastAsia="方正仿宋_GBK" w:hAnsiTheme="majorEastAsia"/>
              </w:rPr>
              <w:t>数字化城管平台建设率</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90%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80%</w:t>
            </w:r>
          </w:p>
        </w:tc>
        <w:tc>
          <w:tcPr>
            <w:tcW w:w="746"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70%</w:t>
            </w:r>
          </w:p>
        </w:tc>
        <w:tc>
          <w:tcPr>
            <w:tcW w:w="751" w:type="dxa"/>
            <w:shd w:val="clear" w:color="auto" w:fill="auto"/>
            <w:vAlign w:val="center"/>
          </w:tcPr>
          <w:p>
            <w:pPr>
              <w:spacing w:line="300" w:lineRule="exact"/>
              <w:jc w:val="center"/>
              <w:rPr>
                <w:rFonts w:ascii="方正仿宋_GBK" w:eastAsia="方正仿宋_GBK" w:hAnsiTheme="majorEastAsia"/>
              </w:rPr>
            </w:pPr>
            <w:r>
              <w:rPr>
                <w:rFonts w:hint="eastAsia" w:ascii="方正仿宋_GBK" w:eastAsia="方正仿宋_GBK" w:hAnsiTheme="majorEastAsia"/>
              </w:rPr>
              <w:t>≤60%</w:t>
            </w:r>
          </w:p>
        </w:tc>
      </w:tr>
    </w:tbl>
    <w:p>
      <w:pPr>
        <w:autoSpaceDE w:val="0"/>
        <w:autoSpaceDN w:val="0"/>
        <w:adjustRightInd w:val="0"/>
        <w:ind w:left="200"/>
        <w:jc w:val="left"/>
        <w:rPr>
          <w:rFonts w:ascii="方正仿宋_GBK" w:eastAsia="方正仿宋_GBK" w:cs="宋体" w:hAnsiTheme="majorEastAsia"/>
          <w:kern w:val="0"/>
          <w:sz w:val="18"/>
          <w:szCs w:val="18"/>
          <w:lang w:val="zh-CN"/>
        </w:rPr>
      </w:pPr>
    </w:p>
    <w:p>
      <w:pPr>
        <w:autoSpaceDE w:val="0"/>
        <w:autoSpaceDN w:val="0"/>
        <w:adjustRightInd w:val="0"/>
        <w:ind w:firstLine="640" w:firstLineChars="200"/>
        <w:jc w:val="left"/>
        <w:rPr>
          <w:rFonts w:ascii="黑体" w:eastAsia="黑体" w:cs="Times New Roman" w:hAnsiTheme="majorEastAsia"/>
          <w:bCs/>
          <w:sz w:val="32"/>
          <w:szCs w:val="32"/>
        </w:rPr>
      </w:pPr>
      <w:r>
        <w:rPr>
          <w:rFonts w:hint="eastAsia" w:ascii="黑体" w:eastAsia="黑体" w:cs="Times New Roman" w:hAnsiTheme="majorEastAsia"/>
          <w:bCs/>
          <w:sz w:val="32"/>
          <w:szCs w:val="32"/>
        </w:rPr>
        <w:t>六、政府采购预算情况</w:t>
      </w:r>
      <w:bookmarkStart w:id="2" w:name="_Toc471398468"/>
    </w:p>
    <w:p>
      <w:pPr>
        <w:autoSpaceDE w:val="0"/>
        <w:autoSpaceDN w:val="0"/>
        <w:adjustRightInd w:val="0"/>
        <w:ind w:firstLine="640" w:firstLineChars="200"/>
        <w:jc w:val="left"/>
        <w:rPr>
          <w:rFonts w:hint="eastAsia" w:ascii="仿宋_GB2312" w:hAnsi="仿宋_GB2312" w:eastAsia="仿宋_GB2312" w:cs="仿宋_GB2312"/>
          <w:sz w:val="32"/>
          <w:szCs w:val="24"/>
        </w:rPr>
      </w:pPr>
      <w:r>
        <w:rPr>
          <w:rFonts w:hint="eastAsia" w:ascii="仿宋_GB2312" w:hAnsi="仿宋_GB2312" w:eastAsia="仿宋_GB2312" w:cs="仿宋_GB2312"/>
          <w:sz w:val="32"/>
          <w:szCs w:val="24"/>
        </w:rPr>
        <w:t>201</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年，我部门安排政府采购预算</w:t>
      </w:r>
      <w:r>
        <w:rPr>
          <w:rFonts w:hint="eastAsia" w:ascii="仿宋_GB2312" w:hAnsi="仿宋_GB2312" w:eastAsia="仿宋_GB2312" w:cs="仿宋_GB2312"/>
          <w:sz w:val="32"/>
          <w:szCs w:val="24"/>
          <w:lang w:val="en-US" w:eastAsia="zh-CN"/>
        </w:rPr>
        <w:t>166.05</w:t>
      </w:r>
      <w:r>
        <w:rPr>
          <w:rFonts w:hint="eastAsia" w:ascii="仿宋_GB2312" w:hAnsi="仿宋_GB2312" w:eastAsia="仿宋_GB2312" w:cs="仿宋_GB2312"/>
          <w:sz w:val="32"/>
          <w:szCs w:val="24"/>
        </w:rPr>
        <w:t>万元。</w:t>
      </w:r>
      <w:bookmarkEnd w:id="2"/>
      <w:r>
        <w:rPr>
          <w:rFonts w:hint="eastAsia" w:ascii="仿宋_GB2312" w:hAnsi="仿宋_GB2312" w:eastAsia="仿宋_GB2312" w:cs="仿宋_GB2312"/>
          <w:sz w:val="32"/>
          <w:szCs w:val="24"/>
        </w:rPr>
        <w:t>具体内容见下表。</w:t>
      </w:r>
    </w:p>
    <w:p>
      <w:pPr>
        <w:jc w:val="center"/>
        <w:outlineLvl w:val="0"/>
        <w:rPr>
          <w:rFonts w:ascii="方正仿宋_GBK" w:eastAsia="方正仿宋_GBK" w:hAnsiTheme="majorEastAsia"/>
          <w:sz w:val="32"/>
        </w:rPr>
      </w:pPr>
      <w:r>
        <w:rPr>
          <w:rFonts w:hint="eastAsia" w:ascii="方正仿宋_GBK" w:eastAsia="方正仿宋_GBK" w:hAnsiTheme="majorEastAsia"/>
          <w:sz w:val="32"/>
        </w:rPr>
        <w:t>部门政府采购预算</w:t>
      </w:r>
    </w:p>
    <w:tbl>
      <w:tblPr>
        <w:tblStyle w:val="6"/>
        <w:tblW w:w="141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0"/>
        <w:gridCol w:w="797"/>
        <w:gridCol w:w="1110"/>
        <w:gridCol w:w="1215"/>
        <w:gridCol w:w="900"/>
        <w:gridCol w:w="825"/>
        <w:gridCol w:w="870"/>
        <w:gridCol w:w="1071"/>
        <w:gridCol w:w="1104"/>
        <w:gridCol w:w="1080"/>
        <w:gridCol w:w="705"/>
        <w:gridCol w:w="648"/>
        <w:gridCol w:w="886"/>
        <w:gridCol w:w="4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tblHeader/>
          <w:jc w:val="center"/>
        </w:trPr>
        <w:tc>
          <w:tcPr>
            <w:tcW w:w="823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仿宋_GBK" w:eastAsia="方正仿宋_GBK" w:hAnsiTheme="majorEastAsia"/>
                <w:sz w:val="24"/>
              </w:rPr>
            </w:pPr>
            <w:r>
              <w:rPr>
                <w:rFonts w:hint="eastAsia" w:ascii="方正仿宋_GBK" w:eastAsia="方正仿宋_GBK" w:hAnsiTheme="majorEastAsia"/>
                <w:sz w:val="24"/>
              </w:rPr>
              <w:t>814霸州市城市管理行政执法局</w:t>
            </w:r>
          </w:p>
        </w:tc>
        <w:tc>
          <w:tcPr>
            <w:tcW w:w="595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仿宋_GBK" w:eastAsia="方正仿宋_GBK" w:hAnsiTheme="majorEastAsia"/>
                <w:sz w:val="24"/>
              </w:rPr>
            </w:pPr>
            <w:r>
              <w:rPr>
                <w:rFonts w:hint="eastAsia" w:ascii="方正仿宋_GBK" w:eastAsia="方正仿宋_GBK" w:hAnsiTheme="majorEastAsia"/>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tblHeader/>
          <w:jc w:val="center"/>
        </w:trPr>
        <w:tc>
          <w:tcPr>
            <w:tcW w:w="3317" w:type="dxa"/>
            <w:gridSpan w:val="2"/>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政府采购项目来源</w:t>
            </w:r>
          </w:p>
        </w:tc>
        <w:tc>
          <w:tcPr>
            <w:tcW w:w="1110"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采购物品名称</w:t>
            </w:r>
          </w:p>
        </w:tc>
        <w:tc>
          <w:tcPr>
            <w:tcW w:w="1215"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政府采购目录序号</w:t>
            </w:r>
          </w:p>
        </w:tc>
        <w:tc>
          <w:tcPr>
            <w:tcW w:w="900"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数量  单位</w:t>
            </w:r>
          </w:p>
        </w:tc>
        <w:tc>
          <w:tcPr>
            <w:tcW w:w="825"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数量</w:t>
            </w:r>
          </w:p>
        </w:tc>
        <w:tc>
          <w:tcPr>
            <w:tcW w:w="870"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单价</w:t>
            </w:r>
          </w:p>
        </w:tc>
        <w:tc>
          <w:tcPr>
            <w:tcW w:w="5957" w:type="dxa"/>
            <w:gridSpan w:val="7"/>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tblHeader/>
          <w:jc w:val="center"/>
        </w:trPr>
        <w:tc>
          <w:tcPr>
            <w:tcW w:w="2520"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项目名称</w:t>
            </w:r>
          </w:p>
        </w:tc>
        <w:tc>
          <w:tcPr>
            <w:tcW w:w="797"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预算资金</w:t>
            </w:r>
          </w:p>
        </w:tc>
        <w:tc>
          <w:tcPr>
            <w:tcW w:w="111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1215"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90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825"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87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1071"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总计</w:t>
            </w:r>
          </w:p>
        </w:tc>
        <w:tc>
          <w:tcPr>
            <w:tcW w:w="4423" w:type="dxa"/>
            <w:gridSpan w:val="5"/>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当年部门预算安排资金</w:t>
            </w:r>
          </w:p>
        </w:tc>
        <w:tc>
          <w:tcPr>
            <w:tcW w:w="463" w:type="dxa"/>
            <w:vMerge w:val="restart"/>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blHeader/>
          <w:jc w:val="center"/>
        </w:trPr>
        <w:tc>
          <w:tcPr>
            <w:tcW w:w="252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797"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111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1215"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90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825"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870"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1071" w:type="dxa"/>
            <w:vMerge w:val="continue"/>
            <w:shd w:val="clear" w:color="auto" w:fill="auto"/>
            <w:vAlign w:val="center"/>
          </w:tcPr>
          <w:p>
            <w:pPr>
              <w:spacing w:line="300" w:lineRule="exact"/>
              <w:jc w:val="left"/>
              <w:outlineLvl w:val="0"/>
              <w:rPr>
                <w:rFonts w:cs="Times New Roman" w:asciiTheme="minorEastAsia" w:hAnsiTheme="minorEastAsia"/>
                <w:szCs w:val="24"/>
              </w:rPr>
            </w:pPr>
          </w:p>
        </w:tc>
        <w:tc>
          <w:tcPr>
            <w:tcW w:w="1104"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合计</w:t>
            </w:r>
          </w:p>
        </w:tc>
        <w:tc>
          <w:tcPr>
            <w:tcW w:w="1080"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一般公共预算拨款</w:t>
            </w:r>
          </w:p>
        </w:tc>
        <w:tc>
          <w:tcPr>
            <w:tcW w:w="705"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基金预算拨款</w:t>
            </w:r>
          </w:p>
        </w:tc>
        <w:tc>
          <w:tcPr>
            <w:tcW w:w="648"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财政专户核拨</w:t>
            </w:r>
          </w:p>
        </w:tc>
        <w:tc>
          <w:tcPr>
            <w:tcW w:w="886"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其他来源收入</w:t>
            </w:r>
          </w:p>
        </w:tc>
        <w:tc>
          <w:tcPr>
            <w:tcW w:w="463" w:type="dxa"/>
            <w:vMerge w:val="continue"/>
            <w:shd w:val="clear" w:color="auto" w:fill="auto"/>
            <w:vAlign w:val="center"/>
          </w:tcPr>
          <w:p>
            <w:pPr>
              <w:spacing w:line="300" w:lineRule="exact"/>
              <w:jc w:val="left"/>
              <w:outlineLvl w:val="0"/>
              <w:rPr>
                <w:rFonts w:cs="Times New Roman" w:asciiTheme="minorEastAsia" w:hAnsiTheme="minorEastAsia"/>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520" w:type="dxa"/>
            <w:shd w:val="clear" w:color="auto" w:fill="auto"/>
            <w:vAlign w:val="center"/>
          </w:tcPr>
          <w:p>
            <w:pPr>
              <w:spacing w:line="300" w:lineRule="exact"/>
              <w:jc w:val="center"/>
              <w:rPr>
                <w:rFonts w:cs="Times New Roman" w:asciiTheme="minorEastAsia" w:hAnsiTheme="minorEastAsia"/>
                <w:b/>
                <w:szCs w:val="24"/>
              </w:rPr>
            </w:pPr>
            <w:r>
              <w:rPr>
                <w:rFonts w:hint="eastAsia" w:cs="Times New Roman" w:asciiTheme="minorEastAsia" w:hAnsiTheme="minorEastAsia"/>
                <w:b/>
                <w:szCs w:val="24"/>
              </w:rPr>
              <w:t>合　计</w:t>
            </w:r>
          </w:p>
        </w:tc>
        <w:tc>
          <w:tcPr>
            <w:tcW w:w="797" w:type="dxa"/>
            <w:shd w:val="clear" w:color="auto" w:fill="auto"/>
            <w:vAlign w:val="center"/>
          </w:tcPr>
          <w:p>
            <w:pPr>
              <w:spacing w:line="300" w:lineRule="exact"/>
              <w:jc w:val="right"/>
              <w:rPr>
                <w:rFonts w:hint="eastAsia" w:cs="Times New Roman" w:asciiTheme="minorEastAsia" w:hAnsiTheme="minorEastAsia" w:eastAsiaTheme="minorEastAsia"/>
                <w:b/>
                <w:bCs/>
                <w:sz w:val="30"/>
                <w:szCs w:val="30"/>
                <w:lang w:val="en-US" w:eastAsia="zh-CN"/>
              </w:rPr>
            </w:pPr>
          </w:p>
        </w:tc>
        <w:tc>
          <w:tcPr>
            <w:tcW w:w="1110" w:type="dxa"/>
            <w:shd w:val="clear" w:color="auto" w:fill="auto"/>
            <w:vAlign w:val="center"/>
          </w:tcPr>
          <w:p>
            <w:pPr>
              <w:spacing w:line="300" w:lineRule="exact"/>
              <w:jc w:val="left"/>
              <w:rPr>
                <w:rFonts w:cs="Times New Roman" w:asciiTheme="minorEastAsia" w:hAnsiTheme="minorEastAsia"/>
                <w:b/>
                <w:bCs/>
                <w:szCs w:val="24"/>
              </w:rPr>
            </w:pPr>
          </w:p>
        </w:tc>
        <w:tc>
          <w:tcPr>
            <w:tcW w:w="1215" w:type="dxa"/>
            <w:shd w:val="clear" w:color="auto" w:fill="auto"/>
            <w:vAlign w:val="center"/>
          </w:tcPr>
          <w:p>
            <w:pPr>
              <w:spacing w:line="300" w:lineRule="exact"/>
              <w:jc w:val="left"/>
              <w:rPr>
                <w:rFonts w:cs="Times New Roman" w:asciiTheme="minorEastAsia" w:hAnsiTheme="minorEastAsia"/>
                <w:b/>
                <w:bCs/>
                <w:szCs w:val="24"/>
              </w:rPr>
            </w:pPr>
          </w:p>
        </w:tc>
        <w:tc>
          <w:tcPr>
            <w:tcW w:w="900" w:type="dxa"/>
            <w:shd w:val="clear" w:color="auto" w:fill="auto"/>
            <w:vAlign w:val="center"/>
          </w:tcPr>
          <w:p>
            <w:pPr>
              <w:spacing w:line="300" w:lineRule="exact"/>
              <w:jc w:val="left"/>
              <w:rPr>
                <w:rFonts w:cs="Times New Roman" w:asciiTheme="minorEastAsia" w:hAnsiTheme="minorEastAsia"/>
                <w:b/>
                <w:bCs/>
                <w:szCs w:val="24"/>
              </w:rPr>
            </w:pPr>
          </w:p>
        </w:tc>
        <w:tc>
          <w:tcPr>
            <w:tcW w:w="825" w:type="dxa"/>
            <w:shd w:val="clear" w:color="auto" w:fill="auto"/>
            <w:vAlign w:val="center"/>
          </w:tcPr>
          <w:p>
            <w:pPr>
              <w:spacing w:line="300" w:lineRule="exact"/>
              <w:jc w:val="right"/>
              <w:rPr>
                <w:rFonts w:cs="Times New Roman" w:asciiTheme="minorEastAsia" w:hAnsiTheme="minorEastAsia"/>
                <w:b/>
                <w:bCs/>
                <w:sz w:val="28"/>
                <w:szCs w:val="28"/>
              </w:rPr>
            </w:pPr>
          </w:p>
        </w:tc>
        <w:tc>
          <w:tcPr>
            <w:tcW w:w="870" w:type="dxa"/>
            <w:shd w:val="clear" w:color="auto" w:fill="auto"/>
            <w:vAlign w:val="center"/>
          </w:tcPr>
          <w:p>
            <w:pPr>
              <w:spacing w:line="300" w:lineRule="exact"/>
              <w:jc w:val="right"/>
              <w:rPr>
                <w:rFonts w:cs="Times New Roman" w:asciiTheme="minorEastAsia" w:hAnsiTheme="minorEastAsia"/>
                <w:b/>
                <w:bCs/>
                <w:sz w:val="28"/>
                <w:szCs w:val="28"/>
              </w:rPr>
            </w:pPr>
          </w:p>
        </w:tc>
        <w:tc>
          <w:tcPr>
            <w:tcW w:w="1071" w:type="dxa"/>
            <w:shd w:val="clear" w:color="auto" w:fill="auto"/>
            <w:vAlign w:val="center"/>
          </w:tcPr>
          <w:p>
            <w:pPr>
              <w:jc w:val="right"/>
              <w:rPr>
                <w:rFonts w:hint="eastAsia" w:eastAsiaTheme="minorEastAsia"/>
                <w:b/>
                <w:bCs/>
                <w:sz w:val="28"/>
                <w:szCs w:val="28"/>
                <w:lang w:val="en-US" w:eastAsia="zh-CN"/>
              </w:rPr>
            </w:pPr>
            <w:r>
              <w:rPr>
                <w:rFonts w:hint="eastAsia" w:cs="Times New Roman" w:asciiTheme="minorEastAsia" w:hAnsiTheme="minorEastAsia"/>
                <w:b/>
                <w:bCs/>
                <w:sz w:val="28"/>
                <w:szCs w:val="28"/>
                <w:lang w:val="en-US" w:eastAsia="zh-CN"/>
              </w:rPr>
              <w:t>166.05</w:t>
            </w:r>
          </w:p>
        </w:tc>
        <w:tc>
          <w:tcPr>
            <w:tcW w:w="1104" w:type="dxa"/>
            <w:shd w:val="clear" w:color="auto" w:fill="auto"/>
            <w:vAlign w:val="center"/>
          </w:tcPr>
          <w:p>
            <w:pPr>
              <w:jc w:val="right"/>
              <w:rPr>
                <w:rFonts w:hint="eastAsia" w:eastAsiaTheme="minorEastAsia"/>
                <w:b/>
                <w:bCs/>
                <w:sz w:val="28"/>
                <w:szCs w:val="28"/>
                <w:lang w:val="en-US" w:eastAsia="zh-CN"/>
              </w:rPr>
            </w:pPr>
            <w:r>
              <w:rPr>
                <w:rFonts w:hint="eastAsia" w:cs="Times New Roman" w:asciiTheme="minorEastAsia" w:hAnsiTheme="minorEastAsia"/>
                <w:b/>
                <w:bCs/>
                <w:sz w:val="28"/>
                <w:szCs w:val="28"/>
                <w:lang w:val="en-US" w:eastAsia="zh-CN"/>
              </w:rPr>
              <w:t>166.05</w:t>
            </w:r>
          </w:p>
        </w:tc>
        <w:tc>
          <w:tcPr>
            <w:tcW w:w="1080" w:type="dxa"/>
            <w:shd w:val="clear" w:color="auto" w:fill="auto"/>
            <w:vAlign w:val="center"/>
          </w:tcPr>
          <w:p>
            <w:pPr>
              <w:jc w:val="right"/>
              <w:rPr>
                <w:rFonts w:hint="eastAsia" w:eastAsiaTheme="minorEastAsia"/>
                <w:b/>
                <w:bCs/>
                <w:sz w:val="28"/>
                <w:szCs w:val="28"/>
                <w:lang w:val="en-US" w:eastAsia="zh-CN"/>
              </w:rPr>
            </w:pPr>
            <w:r>
              <w:rPr>
                <w:rFonts w:hint="eastAsia" w:cs="Times New Roman" w:asciiTheme="minorEastAsia" w:hAnsiTheme="minorEastAsia"/>
                <w:b/>
                <w:bCs/>
                <w:sz w:val="28"/>
                <w:szCs w:val="28"/>
                <w:lang w:val="en-US" w:eastAsia="zh-CN"/>
              </w:rPr>
              <w:t>166.05</w:t>
            </w:r>
          </w:p>
        </w:tc>
        <w:tc>
          <w:tcPr>
            <w:tcW w:w="705" w:type="dxa"/>
            <w:shd w:val="clear" w:color="auto" w:fill="auto"/>
            <w:vAlign w:val="center"/>
          </w:tcPr>
          <w:p>
            <w:pPr>
              <w:spacing w:line="300" w:lineRule="exact"/>
              <w:jc w:val="right"/>
              <w:rPr>
                <w:rFonts w:cs="Times New Roman" w:asciiTheme="minorEastAsia" w:hAnsiTheme="minorEastAsia"/>
                <w:b/>
                <w:szCs w:val="24"/>
              </w:rPr>
            </w:pPr>
          </w:p>
        </w:tc>
        <w:tc>
          <w:tcPr>
            <w:tcW w:w="648" w:type="dxa"/>
            <w:shd w:val="clear" w:color="auto" w:fill="auto"/>
            <w:vAlign w:val="center"/>
          </w:tcPr>
          <w:p>
            <w:pPr>
              <w:spacing w:line="300" w:lineRule="exact"/>
              <w:jc w:val="right"/>
              <w:rPr>
                <w:rFonts w:cs="Times New Roman" w:asciiTheme="minorEastAsia" w:hAnsiTheme="minorEastAsia"/>
                <w:b/>
                <w:szCs w:val="24"/>
              </w:rPr>
            </w:pPr>
          </w:p>
        </w:tc>
        <w:tc>
          <w:tcPr>
            <w:tcW w:w="886" w:type="dxa"/>
            <w:shd w:val="clear" w:color="auto" w:fill="auto"/>
            <w:vAlign w:val="center"/>
          </w:tcPr>
          <w:p>
            <w:pPr>
              <w:spacing w:line="300" w:lineRule="exact"/>
              <w:jc w:val="right"/>
              <w:rPr>
                <w:rFonts w:cs="Times New Roman" w:asciiTheme="minorEastAsia" w:hAnsiTheme="minorEastAsia"/>
                <w:b/>
                <w:szCs w:val="24"/>
              </w:rPr>
            </w:pPr>
          </w:p>
        </w:tc>
        <w:tc>
          <w:tcPr>
            <w:tcW w:w="463" w:type="dxa"/>
            <w:shd w:val="clear" w:color="auto" w:fill="auto"/>
            <w:vAlign w:val="center"/>
          </w:tcPr>
          <w:p>
            <w:pPr>
              <w:spacing w:line="300" w:lineRule="exact"/>
              <w:jc w:val="right"/>
              <w:rPr>
                <w:rFonts w:cs="Times New Roman" w:asciiTheme="minorEastAsia" w:hAnsiTheme="minorEastAsia"/>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520" w:type="dxa"/>
            <w:shd w:val="clear" w:color="auto" w:fill="auto"/>
            <w:vAlign w:val="center"/>
          </w:tcPr>
          <w:p>
            <w:pPr>
              <w:spacing w:line="3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拆除违章建筑及广告牌匾工作经费</w:t>
            </w:r>
          </w:p>
        </w:tc>
        <w:tc>
          <w:tcPr>
            <w:tcW w:w="797" w:type="dxa"/>
            <w:shd w:val="clear" w:color="auto" w:fill="auto"/>
            <w:vAlign w:val="center"/>
          </w:tcPr>
          <w:p>
            <w:pPr>
              <w:spacing w:line="300" w:lineRule="exact"/>
              <w:jc w:val="right"/>
              <w:rPr>
                <w:rFonts w:hint="eastAsia" w:ascii="仿宋" w:hAnsi="仿宋" w:eastAsia="仿宋" w:cs="Times New Roman"/>
                <w:b w:val="0"/>
                <w:bCs w:val="0"/>
                <w:sz w:val="30"/>
                <w:szCs w:val="30"/>
                <w:lang w:val="en-US" w:eastAsia="zh-CN"/>
              </w:rPr>
            </w:pPr>
            <w:r>
              <w:rPr>
                <w:rFonts w:hint="eastAsia" w:ascii="仿宋" w:hAnsi="仿宋" w:eastAsia="仿宋" w:cs="Times New Roman"/>
                <w:b w:val="0"/>
                <w:bCs w:val="0"/>
                <w:sz w:val="30"/>
                <w:szCs w:val="30"/>
                <w:lang w:val="en-US" w:eastAsia="zh-CN"/>
              </w:rPr>
              <w:t>154</w:t>
            </w:r>
          </w:p>
        </w:tc>
        <w:tc>
          <w:tcPr>
            <w:tcW w:w="1110" w:type="dxa"/>
            <w:shd w:val="clear" w:color="auto" w:fill="auto"/>
            <w:vAlign w:val="center"/>
          </w:tcPr>
          <w:p>
            <w:pPr>
              <w:spacing w:line="3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其他服务</w:t>
            </w:r>
          </w:p>
        </w:tc>
        <w:tc>
          <w:tcPr>
            <w:tcW w:w="1215" w:type="dxa"/>
            <w:shd w:val="clear" w:color="auto" w:fill="auto"/>
            <w:vAlign w:val="center"/>
          </w:tcPr>
          <w:p>
            <w:pPr>
              <w:spacing w:line="300" w:lineRule="exact"/>
              <w:jc w:val="lef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C99</w:t>
            </w:r>
          </w:p>
        </w:tc>
        <w:tc>
          <w:tcPr>
            <w:tcW w:w="900" w:type="dxa"/>
            <w:shd w:val="clear" w:color="auto" w:fill="auto"/>
            <w:vAlign w:val="center"/>
          </w:tcPr>
          <w:p>
            <w:pPr>
              <w:spacing w:line="3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处</w:t>
            </w:r>
          </w:p>
        </w:tc>
        <w:tc>
          <w:tcPr>
            <w:tcW w:w="825" w:type="dxa"/>
            <w:shd w:val="clear" w:color="auto" w:fill="auto"/>
            <w:vAlign w:val="center"/>
          </w:tcPr>
          <w:p>
            <w:pPr>
              <w:spacing w:line="300" w:lineRule="exact"/>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250</w:t>
            </w:r>
          </w:p>
        </w:tc>
        <w:tc>
          <w:tcPr>
            <w:tcW w:w="870" w:type="dxa"/>
            <w:shd w:val="clear" w:color="auto" w:fill="auto"/>
            <w:vAlign w:val="center"/>
          </w:tcPr>
          <w:p>
            <w:pPr>
              <w:spacing w:line="300" w:lineRule="exact"/>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0.20</w:t>
            </w:r>
          </w:p>
        </w:tc>
        <w:tc>
          <w:tcPr>
            <w:tcW w:w="1071"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50</w:t>
            </w:r>
          </w:p>
        </w:tc>
        <w:tc>
          <w:tcPr>
            <w:tcW w:w="1104"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50</w:t>
            </w:r>
          </w:p>
        </w:tc>
        <w:tc>
          <w:tcPr>
            <w:tcW w:w="1080"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50</w:t>
            </w:r>
          </w:p>
        </w:tc>
        <w:tc>
          <w:tcPr>
            <w:tcW w:w="705" w:type="dxa"/>
            <w:shd w:val="clear" w:color="auto" w:fill="auto"/>
            <w:vAlign w:val="center"/>
          </w:tcPr>
          <w:p>
            <w:pPr>
              <w:spacing w:line="300" w:lineRule="exact"/>
              <w:jc w:val="right"/>
              <w:rPr>
                <w:rFonts w:ascii="仿宋" w:hAnsi="仿宋" w:eastAsia="仿宋" w:cs="Times New Roman"/>
                <w:sz w:val="28"/>
                <w:szCs w:val="28"/>
              </w:rPr>
            </w:pPr>
          </w:p>
        </w:tc>
        <w:tc>
          <w:tcPr>
            <w:tcW w:w="648" w:type="dxa"/>
            <w:shd w:val="clear" w:color="auto" w:fill="auto"/>
            <w:vAlign w:val="center"/>
          </w:tcPr>
          <w:p>
            <w:pPr>
              <w:spacing w:line="300" w:lineRule="exact"/>
              <w:jc w:val="right"/>
              <w:rPr>
                <w:rFonts w:ascii="仿宋" w:hAnsi="仿宋" w:eastAsia="仿宋" w:cs="Times New Roman"/>
                <w:sz w:val="28"/>
                <w:szCs w:val="28"/>
              </w:rPr>
            </w:pPr>
          </w:p>
        </w:tc>
        <w:tc>
          <w:tcPr>
            <w:tcW w:w="886" w:type="dxa"/>
            <w:shd w:val="clear" w:color="auto" w:fill="auto"/>
            <w:vAlign w:val="center"/>
          </w:tcPr>
          <w:p>
            <w:pPr>
              <w:spacing w:line="300" w:lineRule="exact"/>
              <w:jc w:val="right"/>
              <w:rPr>
                <w:rFonts w:ascii="仿宋" w:hAnsi="仿宋" w:eastAsia="仿宋" w:cs="Times New Roman"/>
                <w:sz w:val="28"/>
                <w:szCs w:val="28"/>
              </w:rPr>
            </w:pPr>
          </w:p>
        </w:tc>
        <w:tc>
          <w:tcPr>
            <w:tcW w:w="463" w:type="dxa"/>
            <w:shd w:val="clear" w:color="auto" w:fill="auto"/>
            <w:vAlign w:val="center"/>
          </w:tcPr>
          <w:p>
            <w:pPr>
              <w:spacing w:line="300" w:lineRule="exact"/>
              <w:jc w:val="right"/>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520"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lang w:eastAsia="zh-CN"/>
              </w:rPr>
              <w:t>拆除违章建筑及广告牌匾工作经费</w:t>
            </w:r>
          </w:p>
        </w:tc>
        <w:tc>
          <w:tcPr>
            <w:tcW w:w="797" w:type="dxa"/>
            <w:shd w:val="clear" w:color="auto" w:fill="auto"/>
            <w:vAlign w:val="center"/>
          </w:tcPr>
          <w:p>
            <w:pPr>
              <w:spacing w:line="300" w:lineRule="exact"/>
              <w:jc w:val="right"/>
              <w:rPr>
                <w:rFonts w:hint="eastAsia" w:ascii="仿宋" w:hAnsi="仿宋" w:eastAsia="仿宋" w:cs="Times New Roman"/>
                <w:b w:val="0"/>
                <w:bCs w:val="0"/>
                <w:sz w:val="30"/>
                <w:szCs w:val="30"/>
                <w:lang w:val="en-US" w:eastAsia="zh-CN"/>
              </w:rPr>
            </w:pPr>
            <w:r>
              <w:rPr>
                <w:rFonts w:hint="eastAsia" w:ascii="仿宋" w:hAnsi="仿宋" w:eastAsia="仿宋" w:cs="Times New Roman"/>
                <w:b w:val="0"/>
                <w:bCs w:val="0"/>
                <w:sz w:val="30"/>
                <w:szCs w:val="30"/>
                <w:lang w:val="en-US" w:eastAsia="zh-CN"/>
              </w:rPr>
              <w:t>154</w:t>
            </w:r>
          </w:p>
        </w:tc>
        <w:tc>
          <w:tcPr>
            <w:tcW w:w="1110"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lang w:eastAsia="zh-CN"/>
              </w:rPr>
              <w:t>其他服务</w:t>
            </w:r>
          </w:p>
        </w:tc>
        <w:tc>
          <w:tcPr>
            <w:tcW w:w="1215" w:type="dxa"/>
            <w:shd w:val="clear" w:color="auto" w:fill="auto"/>
            <w:vAlign w:val="center"/>
          </w:tcPr>
          <w:p>
            <w:pPr>
              <w:spacing w:line="300" w:lineRule="exact"/>
              <w:jc w:val="lef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C99</w:t>
            </w:r>
          </w:p>
        </w:tc>
        <w:tc>
          <w:tcPr>
            <w:tcW w:w="900" w:type="dxa"/>
            <w:shd w:val="clear" w:color="auto" w:fill="auto"/>
            <w:vAlign w:val="center"/>
          </w:tcPr>
          <w:p>
            <w:pPr>
              <w:spacing w:line="3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万平方米</w:t>
            </w:r>
          </w:p>
        </w:tc>
        <w:tc>
          <w:tcPr>
            <w:tcW w:w="825" w:type="dxa"/>
            <w:shd w:val="clear" w:color="auto" w:fill="auto"/>
            <w:vAlign w:val="center"/>
          </w:tcPr>
          <w:p>
            <w:pPr>
              <w:spacing w:line="300" w:lineRule="exact"/>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w:t>
            </w:r>
            <w:bookmarkStart w:id="3" w:name="_GoBack"/>
            <w:bookmarkEnd w:id="3"/>
          </w:p>
        </w:tc>
        <w:tc>
          <w:tcPr>
            <w:tcW w:w="870" w:type="dxa"/>
            <w:shd w:val="clear" w:color="auto" w:fill="auto"/>
            <w:vAlign w:val="center"/>
          </w:tcPr>
          <w:p>
            <w:pPr>
              <w:spacing w:line="300" w:lineRule="exact"/>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20.8</w:t>
            </w:r>
          </w:p>
        </w:tc>
        <w:tc>
          <w:tcPr>
            <w:tcW w:w="1071"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104</w:t>
            </w:r>
          </w:p>
        </w:tc>
        <w:tc>
          <w:tcPr>
            <w:tcW w:w="1104"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104</w:t>
            </w:r>
          </w:p>
        </w:tc>
        <w:tc>
          <w:tcPr>
            <w:tcW w:w="1080"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104</w:t>
            </w:r>
          </w:p>
        </w:tc>
        <w:tc>
          <w:tcPr>
            <w:tcW w:w="705" w:type="dxa"/>
            <w:shd w:val="clear" w:color="auto" w:fill="auto"/>
            <w:vAlign w:val="center"/>
          </w:tcPr>
          <w:p>
            <w:pPr>
              <w:spacing w:line="300" w:lineRule="exact"/>
              <w:jc w:val="right"/>
              <w:rPr>
                <w:rFonts w:ascii="仿宋" w:hAnsi="仿宋" w:eastAsia="仿宋" w:cs="Times New Roman"/>
                <w:sz w:val="28"/>
                <w:szCs w:val="28"/>
              </w:rPr>
            </w:pPr>
          </w:p>
        </w:tc>
        <w:tc>
          <w:tcPr>
            <w:tcW w:w="648" w:type="dxa"/>
            <w:shd w:val="clear" w:color="auto" w:fill="auto"/>
            <w:vAlign w:val="center"/>
          </w:tcPr>
          <w:p>
            <w:pPr>
              <w:spacing w:line="300" w:lineRule="exact"/>
              <w:jc w:val="right"/>
              <w:rPr>
                <w:rFonts w:ascii="仿宋" w:hAnsi="仿宋" w:eastAsia="仿宋" w:cs="Times New Roman"/>
                <w:sz w:val="28"/>
                <w:szCs w:val="28"/>
              </w:rPr>
            </w:pPr>
          </w:p>
        </w:tc>
        <w:tc>
          <w:tcPr>
            <w:tcW w:w="886" w:type="dxa"/>
            <w:shd w:val="clear" w:color="auto" w:fill="auto"/>
            <w:vAlign w:val="center"/>
          </w:tcPr>
          <w:p>
            <w:pPr>
              <w:spacing w:line="300" w:lineRule="exact"/>
              <w:jc w:val="right"/>
              <w:rPr>
                <w:rFonts w:ascii="仿宋" w:hAnsi="仿宋" w:eastAsia="仿宋" w:cs="Times New Roman"/>
                <w:sz w:val="28"/>
                <w:szCs w:val="28"/>
              </w:rPr>
            </w:pPr>
          </w:p>
        </w:tc>
        <w:tc>
          <w:tcPr>
            <w:tcW w:w="463" w:type="dxa"/>
            <w:shd w:val="clear" w:color="auto" w:fill="auto"/>
            <w:vAlign w:val="center"/>
          </w:tcPr>
          <w:p>
            <w:pPr>
              <w:spacing w:line="300" w:lineRule="exact"/>
              <w:jc w:val="right"/>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520" w:type="dxa"/>
            <w:shd w:val="clear" w:color="auto" w:fill="auto"/>
            <w:vAlign w:val="center"/>
          </w:tcPr>
          <w:p>
            <w:pPr>
              <w:spacing w:line="3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“门前三包”标志牌及宣传费用</w:t>
            </w:r>
          </w:p>
        </w:tc>
        <w:tc>
          <w:tcPr>
            <w:tcW w:w="797" w:type="dxa"/>
            <w:shd w:val="clear" w:color="auto" w:fill="auto"/>
            <w:vAlign w:val="center"/>
          </w:tcPr>
          <w:p>
            <w:pPr>
              <w:spacing w:line="300" w:lineRule="exact"/>
              <w:jc w:val="right"/>
              <w:rPr>
                <w:rFonts w:hint="eastAsia" w:ascii="仿宋" w:hAnsi="仿宋" w:eastAsia="仿宋" w:cs="Times New Roman"/>
                <w:b w:val="0"/>
                <w:bCs w:val="0"/>
                <w:sz w:val="30"/>
                <w:szCs w:val="30"/>
                <w:lang w:val="en-US" w:eastAsia="zh-CN"/>
              </w:rPr>
            </w:pPr>
            <w:r>
              <w:rPr>
                <w:rFonts w:hint="eastAsia" w:ascii="仿宋" w:hAnsi="仿宋" w:eastAsia="仿宋" w:cs="Times New Roman"/>
                <w:b w:val="0"/>
                <w:bCs w:val="0"/>
                <w:sz w:val="30"/>
                <w:szCs w:val="30"/>
                <w:lang w:val="en-US" w:eastAsia="zh-CN"/>
              </w:rPr>
              <w:t>16</w:t>
            </w:r>
          </w:p>
        </w:tc>
        <w:tc>
          <w:tcPr>
            <w:tcW w:w="1110"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lang w:eastAsia="zh-CN"/>
              </w:rPr>
              <w:t>其他服务</w:t>
            </w:r>
          </w:p>
        </w:tc>
        <w:tc>
          <w:tcPr>
            <w:tcW w:w="1215" w:type="dxa"/>
            <w:shd w:val="clear" w:color="auto" w:fill="auto"/>
            <w:vAlign w:val="center"/>
          </w:tcPr>
          <w:p>
            <w:pPr>
              <w:spacing w:line="300" w:lineRule="exact"/>
              <w:jc w:val="lef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A99</w:t>
            </w:r>
          </w:p>
        </w:tc>
        <w:tc>
          <w:tcPr>
            <w:tcW w:w="900" w:type="dxa"/>
            <w:shd w:val="clear" w:color="auto" w:fill="auto"/>
            <w:vAlign w:val="center"/>
          </w:tcPr>
          <w:p>
            <w:pPr>
              <w:spacing w:line="300" w:lineRule="exact"/>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100个</w:t>
            </w:r>
          </w:p>
        </w:tc>
        <w:tc>
          <w:tcPr>
            <w:tcW w:w="825" w:type="dxa"/>
            <w:shd w:val="clear" w:color="auto" w:fill="auto"/>
            <w:vAlign w:val="center"/>
          </w:tcPr>
          <w:p>
            <w:pPr>
              <w:spacing w:line="300" w:lineRule="exact"/>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45</w:t>
            </w:r>
          </w:p>
        </w:tc>
        <w:tc>
          <w:tcPr>
            <w:tcW w:w="870"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lang w:val="en-US" w:eastAsia="zh-CN"/>
              </w:rPr>
              <w:t>0.25</w:t>
            </w:r>
          </w:p>
        </w:tc>
        <w:tc>
          <w:tcPr>
            <w:tcW w:w="1071"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11.25</w:t>
            </w:r>
          </w:p>
        </w:tc>
        <w:tc>
          <w:tcPr>
            <w:tcW w:w="1104"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11.25</w:t>
            </w:r>
          </w:p>
        </w:tc>
        <w:tc>
          <w:tcPr>
            <w:tcW w:w="1080" w:type="dxa"/>
            <w:shd w:val="clear" w:color="auto" w:fill="auto"/>
            <w:vAlign w:val="center"/>
          </w:tcPr>
          <w:p>
            <w:pPr>
              <w:spacing w:line="300" w:lineRule="exact"/>
              <w:jc w:val="right"/>
              <w:rPr>
                <w:rFonts w:ascii="仿宋" w:hAnsi="仿宋" w:eastAsia="仿宋" w:cs="Times New Roman"/>
                <w:sz w:val="28"/>
                <w:szCs w:val="28"/>
              </w:rPr>
            </w:pPr>
            <w:r>
              <w:rPr>
                <w:rFonts w:hint="eastAsia" w:ascii="仿宋" w:hAnsi="仿宋" w:eastAsia="仿宋" w:cs="Times New Roman"/>
                <w:sz w:val="28"/>
                <w:szCs w:val="28"/>
                <w:lang w:val="en-US" w:eastAsia="zh-CN"/>
              </w:rPr>
              <w:t>11.25</w:t>
            </w:r>
          </w:p>
        </w:tc>
        <w:tc>
          <w:tcPr>
            <w:tcW w:w="705" w:type="dxa"/>
            <w:shd w:val="clear" w:color="auto" w:fill="auto"/>
            <w:vAlign w:val="center"/>
          </w:tcPr>
          <w:p>
            <w:pPr>
              <w:spacing w:line="300" w:lineRule="exact"/>
              <w:jc w:val="right"/>
              <w:rPr>
                <w:rFonts w:ascii="仿宋" w:hAnsi="仿宋" w:eastAsia="仿宋" w:cs="Times New Roman"/>
                <w:sz w:val="28"/>
                <w:szCs w:val="28"/>
              </w:rPr>
            </w:pPr>
          </w:p>
        </w:tc>
        <w:tc>
          <w:tcPr>
            <w:tcW w:w="648" w:type="dxa"/>
            <w:shd w:val="clear" w:color="auto" w:fill="auto"/>
            <w:vAlign w:val="center"/>
          </w:tcPr>
          <w:p>
            <w:pPr>
              <w:spacing w:line="300" w:lineRule="exact"/>
              <w:jc w:val="right"/>
              <w:rPr>
                <w:rFonts w:ascii="仿宋" w:hAnsi="仿宋" w:eastAsia="仿宋" w:cs="Times New Roman"/>
                <w:sz w:val="28"/>
                <w:szCs w:val="28"/>
              </w:rPr>
            </w:pPr>
          </w:p>
        </w:tc>
        <w:tc>
          <w:tcPr>
            <w:tcW w:w="886" w:type="dxa"/>
            <w:shd w:val="clear" w:color="auto" w:fill="auto"/>
            <w:vAlign w:val="center"/>
          </w:tcPr>
          <w:p>
            <w:pPr>
              <w:spacing w:line="300" w:lineRule="exact"/>
              <w:jc w:val="right"/>
              <w:rPr>
                <w:rFonts w:ascii="仿宋" w:hAnsi="仿宋" w:eastAsia="仿宋" w:cs="Times New Roman"/>
                <w:sz w:val="28"/>
                <w:szCs w:val="28"/>
              </w:rPr>
            </w:pPr>
          </w:p>
        </w:tc>
        <w:tc>
          <w:tcPr>
            <w:tcW w:w="463" w:type="dxa"/>
            <w:shd w:val="clear" w:color="auto" w:fill="auto"/>
            <w:vAlign w:val="center"/>
          </w:tcPr>
          <w:p>
            <w:pPr>
              <w:spacing w:line="300" w:lineRule="exact"/>
              <w:jc w:val="right"/>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2520" w:type="dxa"/>
            <w:shd w:val="clear" w:color="auto" w:fill="auto"/>
            <w:vAlign w:val="center"/>
          </w:tcPr>
          <w:p>
            <w:pPr>
              <w:spacing w:line="3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“门前三包”标志牌及宣传费用</w:t>
            </w:r>
          </w:p>
        </w:tc>
        <w:tc>
          <w:tcPr>
            <w:tcW w:w="797" w:type="dxa"/>
            <w:shd w:val="clear" w:color="auto" w:fill="auto"/>
            <w:vAlign w:val="center"/>
          </w:tcPr>
          <w:p>
            <w:pPr>
              <w:spacing w:line="300" w:lineRule="exact"/>
              <w:jc w:val="right"/>
              <w:rPr>
                <w:rFonts w:hint="eastAsia" w:ascii="仿宋" w:hAnsi="仿宋" w:eastAsia="仿宋" w:cs="Times New Roman"/>
                <w:sz w:val="30"/>
                <w:szCs w:val="30"/>
                <w:lang w:val="en-US" w:eastAsia="zh-CN"/>
              </w:rPr>
            </w:pPr>
            <w:r>
              <w:rPr>
                <w:rFonts w:hint="eastAsia" w:ascii="仿宋" w:hAnsi="仿宋" w:eastAsia="仿宋" w:cs="Times New Roman"/>
                <w:sz w:val="30"/>
                <w:szCs w:val="30"/>
                <w:lang w:val="en-US" w:eastAsia="zh-CN"/>
              </w:rPr>
              <w:t>16</w:t>
            </w:r>
          </w:p>
        </w:tc>
        <w:tc>
          <w:tcPr>
            <w:tcW w:w="1110" w:type="dxa"/>
            <w:shd w:val="clear" w:color="auto" w:fill="auto"/>
            <w:vAlign w:val="center"/>
          </w:tcPr>
          <w:p>
            <w:pPr>
              <w:spacing w:line="300" w:lineRule="exact"/>
              <w:jc w:val="center"/>
              <w:rPr>
                <w:rFonts w:ascii="仿宋" w:hAnsi="仿宋" w:eastAsia="仿宋" w:cs="Times New Roman"/>
                <w:sz w:val="28"/>
                <w:szCs w:val="28"/>
              </w:rPr>
            </w:pPr>
            <w:r>
              <w:rPr>
                <w:rFonts w:hint="eastAsia" w:ascii="仿宋" w:hAnsi="仿宋" w:eastAsia="仿宋" w:cs="Times New Roman"/>
                <w:sz w:val="28"/>
                <w:szCs w:val="28"/>
                <w:lang w:eastAsia="zh-CN"/>
              </w:rPr>
              <w:t>其他服务</w:t>
            </w:r>
          </w:p>
        </w:tc>
        <w:tc>
          <w:tcPr>
            <w:tcW w:w="1215" w:type="dxa"/>
            <w:shd w:val="clear" w:color="auto" w:fill="auto"/>
            <w:vAlign w:val="center"/>
          </w:tcPr>
          <w:p>
            <w:pPr>
              <w:spacing w:line="300" w:lineRule="exact"/>
              <w:jc w:val="lef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A99</w:t>
            </w:r>
          </w:p>
        </w:tc>
        <w:tc>
          <w:tcPr>
            <w:tcW w:w="900" w:type="dxa"/>
            <w:shd w:val="clear" w:color="auto" w:fill="auto"/>
            <w:vAlign w:val="center"/>
          </w:tcPr>
          <w:p>
            <w:pPr>
              <w:spacing w:line="300" w:lineRule="exact"/>
              <w:jc w:val="center"/>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个</w:t>
            </w:r>
          </w:p>
        </w:tc>
        <w:tc>
          <w:tcPr>
            <w:tcW w:w="825" w:type="dxa"/>
            <w:shd w:val="clear" w:color="auto" w:fill="auto"/>
            <w:vAlign w:val="center"/>
          </w:tcPr>
          <w:p>
            <w:pPr>
              <w:spacing w:line="300" w:lineRule="exact"/>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80</w:t>
            </w:r>
          </w:p>
        </w:tc>
        <w:tc>
          <w:tcPr>
            <w:tcW w:w="870" w:type="dxa"/>
            <w:shd w:val="clear" w:color="auto" w:fill="auto"/>
            <w:vAlign w:val="center"/>
          </w:tcPr>
          <w:p>
            <w:pPr>
              <w:spacing w:line="300" w:lineRule="exact"/>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0.01</w:t>
            </w:r>
          </w:p>
        </w:tc>
        <w:tc>
          <w:tcPr>
            <w:tcW w:w="1071"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0.80</w:t>
            </w:r>
          </w:p>
        </w:tc>
        <w:tc>
          <w:tcPr>
            <w:tcW w:w="1104"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0.08</w:t>
            </w:r>
          </w:p>
        </w:tc>
        <w:tc>
          <w:tcPr>
            <w:tcW w:w="1080" w:type="dxa"/>
            <w:shd w:val="clear" w:color="auto" w:fill="auto"/>
            <w:vAlign w:val="center"/>
          </w:tcPr>
          <w:p>
            <w:pPr>
              <w:spacing w:line="300" w:lineRule="exact"/>
              <w:jc w:val="right"/>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0.80</w:t>
            </w:r>
          </w:p>
        </w:tc>
        <w:tc>
          <w:tcPr>
            <w:tcW w:w="705" w:type="dxa"/>
            <w:shd w:val="clear" w:color="auto" w:fill="auto"/>
            <w:vAlign w:val="center"/>
          </w:tcPr>
          <w:p>
            <w:pPr>
              <w:spacing w:line="300" w:lineRule="exact"/>
              <w:jc w:val="right"/>
              <w:rPr>
                <w:rFonts w:ascii="仿宋" w:hAnsi="仿宋" w:eastAsia="仿宋" w:cs="Times New Roman"/>
                <w:sz w:val="28"/>
                <w:szCs w:val="28"/>
              </w:rPr>
            </w:pPr>
          </w:p>
        </w:tc>
        <w:tc>
          <w:tcPr>
            <w:tcW w:w="648" w:type="dxa"/>
            <w:shd w:val="clear" w:color="auto" w:fill="auto"/>
            <w:vAlign w:val="center"/>
          </w:tcPr>
          <w:p>
            <w:pPr>
              <w:spacing w:line="300" w:lineRule="exact"/>
              <w:jc w:val="right"/>
              <w:rPr>
                <w:rFonts w:ascii="仿宋" w:hAnsi="仿宋" w:eastAsia="仿宋" w:cs="Times New Roman"/>
                <w:sz w:val="28"/>
                <w:szCs w:val="28"/>
              </w:rPr>
            </w:pPr>
          </w:p>
        </w:tc>
        <w:tc>
          <w:tcPr>
            <w:tcW w:w="886" w:type="dxa"/>
            <w:shd w:val="clear" w:color="auto" w:fill="auto"/>
            <w:vAlign w:val="center"/>
          </w:tcPr>
          <w:p>
            <w:pPr>
              <w:spacing w:line="300" w:lineRule="exact"/>
              <w:jc w:val="right"/>
              <w:rPr>
                <w:rFonts w:ascii="仿宋" w:hAnsi="仿宋" w:eastAsia="仿宋" w:cs="Times New Roman"/>
                <w:sz w:val="28"/>
                <w:szCs w:val="28"/>
              </w:rPr>
            </w:pPr>
          </w:p>
        </w:tc>
        <w:tc>
          <w:tcPr>
            <w:tcW w:w="463" w:type="dxa"/>
            <w:shd w:val="clear" w:color="auto" w:fill="auto"/>
            <w:vAlign w:val="center"/>
          </w:tcPr>
          <w:p>
            <w:pPr>
              <w:spacing w:line="300" w:lineRule="exact"/>
              <w:jc w:val="right"/>
              <w:rPr>
                <w:rFonts w:ascii="仿宋" w:hAnsi="仿宋" w:eastAsia="仿宋" w:cs="Times New Roman"/>
                <w:sz w:val="28"/>
                <w:szCs w:val="28"/>
              </w:rPr>
            </w:pPr>
          </w:p>
        </w:tc>
      </w:tr>
    </w:tbl>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黑体" w:eastAsia="黑体" w:cs="Times New Roman" w:hAnsiTheme="majorEastAsia"/>
          <w:bCs/>
          <w:sz w:val="32"/>
          <w:szCs w:val="32"/>
        </w:rPr>
      </w:pPr>
      <w:r>
        <w:rPr>
          <w:rFonts w:hint="eastAsia" w:ascii="黑体" w:eastAsia="黑体" w:cs="Times New Roman" w:hAnsiTheme="majorEastAsia"/>
          <w:bCs/>
          <w:sz w:val="32"/>
          <w:szCs w:val="32"/>
        </w:rPr>
        <w:t>七、国有资产信息</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霸州市城市管理行政执法局（含所属单位）上年末固定资产金额为</w:t>
      </w:r>
      <w:r>
        <w:rPr>
          <w:rFonts w:hint="eastAsia" w:ascii="仿宋_GB2312" w:hAnsi="仿宋_GB2312" w:eastAsia="仿宋_GB2312" w:cs="仿宋_GB2312"/>
          <w:sz w:val="32"/>
          <w:szCs w:val="32"/>
          <w:lang w:val="en-US" w:eastAsia="zh-CN"/>
        </w:rPr>
        <w:t>717.37</w:t>
      </w:r>
      <w:r>
        <w:rPr>
          <w:rFonts w:hint="eastAsia" w:ascii="仿宋_GB2312" w:hAnsi="仿宋_GB2312" w:eastAsia="仿宋_GB2312" w:cs="仿宋_GB2312"/>
          <w:sz w:val="32"/>
          <w:szCs w:val="32"/>
        </w:rPr>
        <w:t>万元。 本年度我部门拟购置固定资产</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w:t>
      </w:r>
    </w:p>
    <w:tbl>
      <w:tblPr>
        <w:tblStyle w:val="6"/>
        <w:tblW w:w="13495" w:type="dxa"/>
        <w:tblInd w:w="93" w:type="dxa"/>
        <w:tblLayout w:type="fixed"/>
        <w:tblCellMar>
          <w:top w:w="0" w:type="dxa"/>
          <w:left w:w="108" w:type="dxa"/>
          <w:bottom w:w="0" w:type="dxa"/>
          <w:right w:w="108" w:type="dxa"/>
        </w:tblCellMar>
      </w:tblPr>
      <w:tblGrid>
        <w:gridCol w:w="5229"/>
        <w:gridCol w:w="3158"/>
        <w:gridCol w:w="5108"/>
      </w:tblGrid>
      <w:tr>
        <w:tblPrEx>
          <w:tblCellMar>
            <w:top w:w="0" w:type="dxa"/>
            <w:left w:w="108" w:type="dxa"/>
            <w:bottom w:w="0" w:type="dxa"/>
            <w:right w:w="108" w:type="dxa"/>
          </w:tblCellMar>
        </w:tblPrEx>
        <w:trPr>
          <w:trHeight w:val="57" w:hRule="atLeast"/>
        </w:trPr>
        <w:tc>
          <w:tcPr>
            <w:tcW w:w="13495" w:type="dxa"/>
            <w:gridSpan w:val="3"/>
            <w:tcBorders>
              <w:top w:val="nil"/>
              <w:left w:val="nil"/>
              <w:bottom w:val="nil"/>
              <w:right w:val="nil"/>
            </w:tcBorders>
            <w:shd w:val="clear" w:color="auto" w:fill="auto"/>
            <w:vAlign w:val="center"/>
          </w:tcPr>
          <w:p>
            <w:pPr>
              <w:widowControl/>
              <w:jc w:val="center"/>
              <w:rPr>
                <w:rFonts w:ascii="方正仿宋_GBK" w:eastAsia="方正仿宋_GBK" w:cs="宋体" w:hAnsiTheme="majorEastAsia"/>
                <w:b/>
                <w:bCs/>
                <w:kern w:val="0"/>
                <w:sz w:val="32"/>
                <w:szCs w:val="32"/>
              </w:rPr>
            </w:pPr>
            <w:r>
              <w:rPr>
                <w:rFonts w:hint="eastAsia" w:ascii="方正仿宋_GBK" w:eastAsia="方正仿宋_GBK" w:cs="宋体" w:hAnsiTheme="majorEastAsia"/>
                <w:b/>
                <w:bCs/>
                <w:kern w:val="0"/>
                <w:sz w:val="32"/>
                <w:szCs w:val="32"/>
              </w:rPr>
              <w:t>霸州市城市管理行政执法局固定资产占用情况表</w:t>
            </w:r>
          </w:p>
        </w:tc>
      </w:tr>
      <w:tr>
        <w:tblPrEx>
          <w:tblCellMar>
            <w:top w:w="0" w:type="dxa"/>
            <w:left w:w="108" w:type="dxa"/>
            <w:bottom w:w="0" w:type="dxa"/>
            <w:right w:w="108" w:type="dxa"/>
          </w:tblCellMar>
        </w:tblPrEx>
        <w:trPr>
          <w:trHeight w:val="57" w:hRule="atLeast"/>
        </w:trPr>
        <w:tc>
          <w:tcPr>
            <w:tcW w:w="8387" w:type="dxa"/>
            <w:gridSpan w:val="2"/>
            <w:tcBorders>
              <w:top w:val="nil"/>
              <w:left w:val="nil"/>
              <w:bottom w:val="nil"/>
              <w:right w:val="nil"/>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编制部门：814霸州市城市管理行政执法局</w:t>
            </w:r>
          </w:p>
        </w:tc>
        <w:tc>
          <w:tcPr>
            <w:tcW w:w="5108" w:type="dxa"/>
            <w:tcBorders>
              <w:top w:val="nil"/>
              <w:left w:val="nil"/>
              <w:bottom w:val="nil"/>
              <w:right w:val="nil"/>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截止时间：201</w:t>
            </w:r>
            <w:r>
              <w:rPr>
                <w:rFonts w:hint="eastAsia" w:ascii="方正仿宋_GBK" w:eastAsia="方正仿宋_GBK" w:cs="宋体" w:hAnsiTheme="majorEastAsia"/>
                <w:kern w:val="0"/>
                <w:sz w:val="22"/>
                <w:lang w:val="en-US" w:eastAsia="zh-CN"/>
              </w:rPr>
              <w:t>8</w:t>
            </w:r>
            <w:r>
              <w:rPr>
                <w:rFonts w:hint="eastAsia" w:ascii="方正仿宋_GBK" w:eastAsia="方正仿宋_GBK" w:cs="宋体" w:hAnsiTheme="majorEastAsia"/>
                <w:kern w:val="0"/>
                <w:sz w:val="22"/>
              </w:rPr>
              <w:t xml:space="preserve">年12月31日  </w:t>
            </w:r>
          </w:p>
        </w:tc>
      </w:tr>
      <w:tr>
        <w:tblPrEx>
          <w:tblCellMar>
            <w:top w:w="0" w:type="dxa"/>
            <w:left w:w="108" w:type="dxa"/>
            <w:bottom w:w="0" w:type="dxa"/>
            <w:right w:w="108" w:type="dxa"/>
          </w:tblCellMar>
        </w:tblPrEx>
        <w:trPr>
          <w:trHeight w:val="57" w:hRule="atLeast"/>
        </w:trPr>
        <w:tc>
          <w:tcPr>
            <w:tcW w:w="5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b/>
                <w:bCs/>
                <w:kern w:val="0"/>
                <w:sz w:val="22"/>
              </w:rPr>
            </w:pPr>
            <w:r>
              <w:rPr>
                <w:rFonts w:hint="eastAsia" w:ascii="方正仿宋_GBK" w:eastAsia="方正仿宋_GBK" w:cs="宋体" w:hAnsiTheme="majorEastAsia"/>
                <w:b/>
                <w:bCs/>
                <w:kern w:val="0"/>
                <w:sz w:val="22"/>
              </w:rPr>
              <w:t>项   目</w:t>
            </w:r>
          </w:p>
        </w:tc>
        <w:tc>
          <w:tcPr>
            <w:tcW w:w="31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b/>
                <w:bCs/>
                <w:kern w:val="0"/>
                <w:sz w:val="22"/>
              </w:rPr>
            </w:pPr>
            <w:r>
              <w:rPr>
                <w:rFonts w:hint="eastAsia" w:ascii="方正仿宋_GBK" w:eastAsia="方正仿宋_GBK" w:cs="宋体" w:hAnsiTheme="majorEastAsia"/>
                <w:b/>
                <w:bCs/>
                <w:kern w:val="0"/>
                <w:sz w:val="22"/>
              </w:rPr>
              <w:t>数量</w:t>
            </w:r>
          </w:p>
        </w:tc>
        <w:tc>
          <w:tcPr>
            <w:tcW w:w="5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b/>
                <w:bCs/>
                <w:kern w:val="0"/>
                <w:sz w:val="22"/>
              </w:rPr>
            </w:pPr>
            <w:r>
              <w:rPr>
                <w:rFonts w:hint="eastAsia" w:ascii="方正仿宋_GBK" w:eastAsia="方正仿宋_GBK" w:cs="宋体" w:hAnsiTheme="majorEastAsia"/>
                <w:b/>
                <w:bCs/>
                <w:kern w:val="0"/>
                <w:sz w:val="22"/>
              </w:rPr>
              <w:t>价值（金额单位：万元）</w:t>
            </w:r>
          </w:p>
        </w:tc>
      </w:tr>
      <w:tr>
        <w:tblPrEx>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r>
              <w:rPr>
                <w:rFonts w:hint="eastAsia" w:ascii="方正仿宋_GBK" w:eastAsia="方正仿宋_GBK" w:cs="宋体" w:hAnsiTheme="majorEastAsia"/>
                <w:kern w:val="0"/>
                <w:sz w:val="22"/>
              </w:rPr>
              <w:t>资产总额</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r>
              <w:rPr>
                <w:rFonts w:hint="eastAsia" w:ascii="方正仿宋_GBK" w:eastAsia="方正仿宋_GBK" w:cs="宋体" w:hAnsiTheme="majorEastAsia"/>
                <w:kern w:val="0"/>
                <w:sz w:val="22"/>
              </w:rPr>
              <w:t>——</w:t>
            </w: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eastAsia="方正仿宋_GBK" w:cs="宋体" w:hAnsiTheme="majorEastAsia"/>
                <w:kern w:val="0"/>
                <w:sz w:val="22"/>
                <w:lang w:val="en-US" w:eastAsia="zh-CN"/>
              </w:rPr>
            </w:pPr>
            <w:r>
              <w:rPr>
                <w:rFonts w:hint="eastAsia" w:ascii="方正仿宋_GBK" w:eastAsia="方正仿宋_GBK" w:cs="宋体" w:hAnsiTheme="majorEastAsia"/>
                <w:kern w:val="0"/>
                <w:sz w:val="22"/>
                <w:lang w:val="en-US" w:eastAsia="zh-CN"/>
              </w:rPr>
              <w:t>717.37</w:t>
            </w:r>
          </w:p>
        </w:tc>
      </w:tr>
      <w:tr>
        <w:tblPrEx>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1、房屋（平方米）</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r>
      <w:tr>
        <w:tblPrEx>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 xml:space="preserve">   其中：办公用房（平方米）</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r>
      <w:tr>
        <w:tblPrEx>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2、车辆（台、辆）</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eastAsia="方正仿宋_GBK" w:cs="宋体" w:hAnsiTheme="majorEastAsia"/>
                <w:kern w:val="0"/>
                <w:sz w:val="22"/>
                <w:lang w:val="en-US" w:eastAsia="zh-CN"/>
              </w:rPr>
            </w:pPr>
            <w:r>
              <w:rPr>
                <w:rFonts w:hint="eastAsia" w:ascii="方正仿宋_GBK" w:eastAsia="方正仿宋_GBK" w:cs="宋体" w:hAnsiTheme="majorEastAsia"/>
                <w:kern w:val="0"/>
                <w:sz w:val="22"/>
                <w:lang w:val="en-US" w:eastAsia="zh-CN"/>
              </w:rPr>
              <w:t>47</w:t>
            </w: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eastAsia="方正仿宋_GBK" w:cs="宋体" w:hAnsiTheme="majorEastAsia"/>
                <w:kern w:val="0"/>
                <w:sz w:val="22"/>
                <w:lang w:val="en-US" w:eastAsia="zh-CN"/>
              </w:rPr>
            </w:pPr>
            <w:r>
              <w:rPr>
                <w:rFonts w:hint="eastAsia" w:ascii="方正仿宋_GBK" w:eastAsia="方正仿宋_GBK" w:cs="宋体" w:hAnsiTheme="majorEastAsia"/>
                <w:kern w:val="0"/>
                <w:sz w:val="22"/>
                <w:lang w:val="en-US" w:eastAsia="zh-CN"/>
              </w:rPr>
              <w:t>408.02</w:t>
            </w:r>
          </w:p>
        </w:tc>
      </w:tr>
      <w:tr>
        <w:tblPrEx>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3、单价在20万元以上的设备</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r>
      <w:tr>
        <w:tblPrEx>
          <w:tblCellMar>
            <w:top w:w="0" w:type="dxa"/>
            <w:left w:w="108" w:type="dxa"/>
            <w:bottom w:w="0" w:type="dxa"/>
            <w:right w:w="108" w:type="dxa"/>
          </w:tblCellMar>
        </w:tblPrEx>
        <w:trPr>
          <w:trHeight w:val="57" w:hRule="atLeast"/>
        </w:trPr>
        <w:tc>
          <w:tcPr>
            <w:tcW w:w="5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方正仿宋_GBK" w:eastAsia="方正仿宋_GBK" w:cs="宋体" w:hAnsiTheme="majorEastAsia"/>
                <w:kern w:val="0"/>
                <w:sz w:val="22"/>
              </w:rPr>
            </w:pPr>
            <w:r>
              <w:rPr>
                <w:rFonts w:hint="eastAsia" w:ascii="方正仿宋_GBK" w:eastAsia="方正仿宋_GBK" w:cs="宋体" w:hAnsiTheme="majorEastAsia"/>
                <w:kern w:val="0"/>
                <w:sz w:val="22"/>
              </w:rPr>
              <w:t>4、其他固定资产</w:t>
            </w:r>
          </w:p>
        </w:tc>
        <w:tc>
          <w:tcPr>
            <w:tcW w:w="3158" w:type="dxa"/>
            <w:tcBorders>
              <w:top w:val="nil"/>
              <w:left w:val="nil"/>
              <w:bottom w:val="single" w:color="auto" w:sz="4" w:space="0"/>
              <w:right w:val="single" w:color="auto" w:sz="4" w:space="0"/>
            </w:tcBorders>
            <w:shd w:val="clear" w:color="auto" w:fill="auto"/>
            <w:vAlign w:val="center"/>
          </w:tcPr>
          <w:p>
            <w:pPr>
              <w:widowControl/>
              <w:jc w:val="center"/>
              <w:rPr>
                <w:rFonts w:ascii="方正仿宋_GBK" w:eastAsia="方正仿宋_GBK" w:cs="宋体" w:hAnsiTheme="majorEastAsia"/>
                <w:kern w:val="0"/>
                <w:sz w:val="22"/>
              </w:rPr>
            </w:pPr>
          </w:p>
        </w:tc>
        <w:tc>
          <w:tcPr>
            <w:tcW w:w="5108"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仿宋_GBK" w:eastAsia="方正仿宋_GBK" w:cs="宋体" w:hAnsiTheme="majorEastAsia"/>
                <w:kern w:val="0"/>
                <w:sz w:val="22"/>
                <w:lang w:val="en-US" w:eastAsia="zh-CN"/>
              </w:rPr>
            </w:pPr>
            <w:r>
              <w:rPr>
                <w:rFonts w:hint="eastAsia" w:ascii="方正仿宋_GBK" w:eastAsia="方正仿宋_GBK" w:cs="宋体" w:hAnsiTheme="majorEastAsia"/>
                <w:kern w:val="0"/>
                <w:sz w:val="22"/>
                <w:lang w:val="en-US" w:eastAsia="zh-CN"/>
              </w:rPr>
              <w:t>309.35</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pStyle w:val="10"/>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、一般公共预算拨款收入：指市级财政当年拨付的资金。</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hAnsi="Calibri" w:eastAsia="仿宋_GB2312" w:cs="Times New Roman"/>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经费：纳入市级财政预算管理的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3" w:firstLineChars="200"/>
        <w:jc w:val="left"/>
        <w:rPr>
          <w:rFonts w:ascii="仿宋_GB2312" w:hAnsi="Calibri" w:eastAsia="仿宋_GB2312" w:cs="Times New Roman"/>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autoSpaceDE w:val="0"/>
        <w:autoSpaceDN w:val="0"/>
        <w:adjustRightInd w:val="0"/>
        <w:ind w:firstLine="640" w:firstLineChars="200"/>
        <w:jc w:val="left"/>
        <w:rPr>
          <w:rFonts w:ascii="黑体" w:eastAsia="黑体" w:cs="Times New Roman" w:hAnsiTheme="majorEastAsia"/>
          <w:bCs/>
          <w:sz w:val="32"/>
          <w:szCs w:val="32"/>
        </w:rPr>
      </w:pPr>
      <w:r>
        <w:rPr>
          <w:rFonts w:hint="eastAsia" w:ascii="黑体" w:eastAsia="黑体" w:cs="Times New Roman" w:hAnsiTheme="majorEastAsia"/>
          <w:bCs/>
          <w:sz w:val="32"/>
          <w:szCs w:val="32"/>
        </w:rPr>
        <w:t>九、其</w:t>
      </w:r>
      <w:r>
        <w:rPr>
          <w:rFonts w:hint="eastAsia" w:ascii="黑体" w:eastAsia="黑体" w:cs="Times New Roman" w:hAnsiTheme="majorEastAsia"/>
          <w:bCs/>
          <w:sz w:val="32"/>
          <w:szCs w:val="32"/>
          <w:lang w:val="en-US" w:eastAsia="zh-CN"/>
        </w:rPr>
        <w:t>他</w:t>
      </w:r>
      <w:r>
        <w:rPr>
          <w:rFonts w:hint="eastAsia" w:ascii="黑体" w:eastAsia="黑体" w:cs="Times New Roman" w:hAnsiTheme="majorEastAsia"/>
          <w:bCs/>
          <w:sz w:val="32"/>
          <w:szCs w:val="32"/>
        </w:rPr>
        <w:t>需要说明的事项</w:t>
      </w:r>
    </w:p>
    <w:p>
      <w:pPr>
        <w:tabs>
          <w:tab w:val="left" w:pos="11490"/>
        </w:tabs>
        <w:ind w:firstLine="640" w:firstLineChars="200"/>
        <w:rPr>
          <w:rFonts w:ascii="仿宋_GB2312" w:eastAsia="仿宋_GB2312" w:cs="Times New Roman" w:hAnsiTheme="majorEastAsia"/>
          <w:sz w:val="32"/>
          <w:szCs w:val="32"/>
        </w:rPr>
      </w:pPr>
      <w:r>
        <w:rPr>
          <w:rFonts w:hint="eastAsia" w:ascii="仿宋_GB2312" w:hAnsi="仿宋_GB2312" w:eastAsia="仿宋_GB2312" w:cs="仿宋_GB2312"/>
          <w:sz w:val="32"/>
          <w:szCs w:val="32"/>
        </w:rPr>
        <w:t>无其</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rPr>
        <w:t>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93CEF5"/>
    <w:multiLevelType w:val="singleLevel"/>
    <w:tmpl w:val="C093CE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11AE7"/>
    <w:rsid w:val="00037AF6"/>
    <w:rsid w:val="00045A61"/>
    <w:rsid w:val="00075D5F"/>
    <w:rsid w:val="000C3A19"/>
    <w:rsid w:val="000C6189"/>
    <w:rsid w:val="000D3194"/>
    <w:rsid w:val="000F57B2"/>
    <w:rsid w:val="00110FEB"/>
    <w:rsid w:val="001245BB"/>
    <w:rsid w:val="00141531"/>
    <w:rsid w:val="00157266"/>
    <w:rsid w:val="00184343"/>
    <w:rsid w:val="0018479D"/>
    <w:rsid w:val="001B222F"/>
    <w:rsid w:val="001D3F06"/>
    <w:rsid w:val="001D67DF"/>
    <w:rsid w:val="001E6F94"/>
    <w:rsid w:val="00203FCB"/>
    <w:rsid w:val="00223FC1"/>
    <w:rsid w:val="00241FD4"/>
    <w:rsid w:val="00251B12"/>
    <w:rsid w:val="002645FB"/>
    <w:rsid w:val="00265250"/>
    <w:rsid w:val="002652B4"/>
    <w:rsid w:val="00273ECA"/>
    <w:rsid w:val="00277185"/>
    <w:rsid w:val="0028053C"/>
    <w:rsid w:val="00280953"/>
    <w:rsid w:val="00281918"/>
    <w:rsid w:val="00296113"/>
    <w:rsid w:val="002A126E"/>
    <w:rsid w:val="002A591B"/>
    <w:rsid w:val="002A6BDF"/>
    <w:rsid w:val="002F3E58"/>
    <w:rsid w:val="002F4671"/>
    <w:rsid w:val="0030542C"/>
    <w:rsid w:val="00310970"/>
    <w:rsid w:val="00311B7A"/>
    <w:rsid w:val="00314AA3"/>
    <w:rsid w:val="00365DB3"/>
    <w:rsid w:val="00371B93"/>
    <w:rsid w:val="00385EC2"/>
    <w:rsid w:val="003A42AA"/>
    <w:rsid w:val="003A4525"/>
    <w:rsid w:val="003A5467"/>
    <w:rsid w:val="003C1853"/>
    <w:rsid w:val="003D02F2"/>
    <w:rsid w:val="003D7267"/>
    <w:rsid w:val="003E1A7F"/>
    <w:rsid w:val="003F10CF"/>
    <w:rsid w:val="003F3783"/>
    <w:rsid w:val="003F6ED1"/>
    <w:rsid w:val="003F71EA"/>
    <w:rsid w:val="004215E9"/>
    <w:rsid w:val="00423EFA"/>
    <w:rsid w:val="004468A8"/>
    <w:rsid w:val="00451871"/>
    <w:rsid w:val="00472923"/>
    <w:rsid w:val="0047432E"/>
    <w:rsid w:val="004A0773"/>
    <w:rsid w:val="004A7785"/>
    <w:rsid w:val="004E3066"/>
    <w:rsid w:val="004E74CD"/>
    <w:rsid w:val="00503846"/>
    <w:rsid w:val="00504B62"/>
    <w:rsid w:val="005104C6"/>
    <w:rsid w:val="00512D69"/>
    <w:rsid w:val="0052189C"/>
    <w:rsid w:val="00541A07"/>
    <w:rsid w:val="00570276"/>
    <w:rsid w:val="00573562"/>
    <w:rsid w:val="005754B7"/>
    <w:rsid w:val="005C0C90"/>
    <w:rsid w:val="005C2C40"/>
    <w:rsid w:val="005D555C"/>
    <w:rsid w:val="00614A29"/>
    <w:rsid w:val="00615607"/>
    <w:rsid w:val="006355A7"/>
    <w:rsid w:val="00647AE8"/>
    <w:rsid w:val="006561CE"/>
    <w:rsid w:val="0068104D"/>
    <w:rsid w:val="0068705E"/>
    <w:rsid w:val="006A2A30"/>
    <w:rsid w:val="006A524E"/>
    <w:rsid w:val="006C71D2"/>
    <w:rsid w:val="006F2433"/>
    <w:rsid w:val="00704A09"/>
    <w:rsid w:val="0070593E"/>
    <w:rsid w:val="007169AB"/>
    <w:rsid w:val="0075393C"/>
    <w:rsid w:val="00755F39"/>
    <w:rsid w:val="0076584E"/>
    <w:rsid w:val="007757EA"/>
    <w:rsid w:val="00776C08"/>
    <w:rsid w:val="00783E23"/>
    <w:rsid w:val="00785359"/>
    <w:rsid w:val="00793BEA"/>
    <w:rsid w:val="007B3721"/>
    <w:rsid w:val="007B404C"/>
    <w:rsid w:val="007B4EE0"/>
    <w:rsid w:val="007B69F7"/>
    <w:rsid w:val="007C25D8"/>
    <w:rsid w:val="007E1DA8"/>
    <w:rsid w:val="007F1C5C"/>
    <w:rsid w:val="007F6C26"/>
    <w:rsid w:val="00803B75"/>
    <w:rsid w:val="00815768"/>
    <w:rsid w:val="008332CF"/>
    <w:rsid w:val="008334AE"/>
    <w:rsid w:val="00836FED"/>
    <w:rsid w:val="00845CD2"/>
    <w:rsid w:val="008502D8"/>
    <w:rsid w:val="00852B0D"/>
    <w:rsid w:val="00861C1D"/>
    <w:rsid w:val="00862D92"/>
    <w:rsid w:val="00863F91"/>
    <w:rsid w:val="00881692"/>
    <w:rsid w:val="00886AA3"/>
    <w:rsid w:val="008A71FF"/>
    <w:rsid w:val="008B3CC5"/>
    <w:rsid w:val="008C2BAF"/>
    <w:rsid w:val="008E4261"/>
    <w:rsid w:val="008F4662"/>
    <w:rsid w:val="00905D08"/>
    <w:rsid w:val="00925753"/>
    <w:rsid w:val="00951F7B"/>
    <w:rsid w:val="009605F3"/>
    <w:rsid w:val="00966C5C"/>
    <w:rsid w:val="00973104"/>
    <w:rsid w:val="00980DCD"/>
    <w:rsid w:val="00986B70"/>
    <w:rsid w:val="0099545B"/>
    <w:rsid w:val="009A6011"/>
    <w:rsid w:val="009E2D26"/>
    <w:rsid w:val="00A359FE"/>
    <w:rsid w:val="00A36BAB"/>
    <w:rsid w:val="00A37BD8"/>
    <w:rsid w:val="00A421CD"/>
    <w:rsid w:val="00A55F0D"/>
    <w:rsid w:val="00A72D2E"/>
    <w:rsid w:val="00A80E26"/>
    <w:rsid w:val="00A852E3"/>
    <w:rsid w:val="00A911E7"/>
    <w:rsid w:val="00A917FF"/>
    <w:rsid w:val="00A939D9"/>
    <w:rsid w:val="00AA767B"/>
    <w:rsid w:val="00AB3749"/>
    <w:rsid w:val="00AC1EA8"/>
    <w:rsid w:val="00AE6D31"/>
    <w:rsid w:val="00AF7E5E"/>
    <w:rsid w:val="00B20712"/>
    <w:rsid w:val="00B338CF"/>
    <w:rsid w:val="00B43238"/>
    <w:rsid w:val="00B47803"/>
    <w:rsid w:val="00B75216"/>
    <w:rsid w:val="00B86EC2"/>
    <w:rsid w:val="00B91D52"/>
    <w:rsid w:val="00B93356"/>
    <w:rsid w:val="00BA1ACD"/>
    <w:rsid w:val="00BD24BE"/>
    <w:rsid w:val="00BE4966"/>
    <w:rsid w:val="00C216B6"/>
    <w:rsid w:val="00C4110E"/>
    <w:rsid w:val="00C52925"/>
    <w:rsid w:val="00C52C23"/>
    <w:rsid w:val="00C72978"/>
    <w:rsid w:val="00CA7176"/>
    <w:rsid w:val="00CD2773"/>
    <w:rsid w:val="00CE143B"/>
    <w:rsid w:val="00CF00DB"/>
    <w:rsid w:val="00D13D08"/>
    <w:rsid w:val="00D17F68"/>
    <w:rsid w:val="00D27285"/>
    <w:rsid w:val="00D504C5"/>
    <w:rsid w:val="00D53755"/>
    <w:rsid w:val="00D75F65"/>
    <w:rsid w:val="00D8163A"/>
    <w:rsid w:val="00D836C0"/>
    <w:rsid w:val="00D85A4C"/>
    <w:rsid w:val="00D900E6"/>
    <w:rsid w:val="00D9708D"/>
    <w:rsid w:val="00DA092E"/>
    <w:rsid w:val="00DF0FCA"/>
    <w:rsid w:val="00E01470"/>
    <w:rsid w:val="00E04A7D"/>
    <w:rsid w:val="00E10CFF"/>
    <w:rsid w:val="00E14843"/>
    <w:rsid w:val="00E167C7"/>
    <w:rsid w:val="00E3186F"/>
    <w:rsid w:val="00E44710"/>
    <w:rsid w:val="00E4508D"/>
    <w:rsid w:val="00E52F09"/>
    <w:rsid w:val="00E552DE"/>
    <w:rsid w:val="00E62488"/>
    <w:rsid w:val="00E71F7B"/>
    <w:rsid w:val="00E81411"/>
    <w:rsid w:val="00E920FB"/>
    <w:rsid w:val="00EA3ECC"/>
    <w:rsid w:val="00EC4091"/>
    <w:rsid w:val="00EC47F6"/>
    <w:rsid w:val="00EE1B43"/>
    <w:rsid w:val="00F153EF"/>
    <w:rsid w:val="00F16A11"/>
    <w:rsid w:val="00F16FF6"/>
    <w:rsid w:val="00F30465"/>
    <w:rsid w:val="00F30C34"/>
    <w:rsid w:val="00F32BF9"/>
    <w:rsid w:val="00F3539D"/>
    <w:rsid w:val="00F439C8"/>
    <w:rsid w:val="00F4699E"/>
    <w:rsid w:val="00F55FB6"/>
    <w:rsid w:val="00F66032"/>
    <w:rsid w:val="00F70DA3"/>
    <w:rsid w:val="00F958C2"/>
    <w:rsid w:val="00FC6758"/>
    <w:rsid w:val="00FD1DC9"/>
    <w:rsid w:val="02C100B0"/>
    <w:rsid w:val="068B067D"/>
    <w:rsid w:val="08D60E4F"/>
    <w:rsid w:val="10022064"/>
    <w:rsid w:val="12D8728C"/>
    <w:rsid w:val="15AA25AD"/>
    <w:rsid w:val="18BA2640"/>
    <w:rsid w:val="1A985E65"/>
    <w:rsid w:val="1B4E7A8C"/>
    <w:rsid w:val="26BE494E"/>
    <w:rsid w:val="270A35CE"/>
    <w:rsid w:val="2A572BC1"/>
    <w:rsid w:val="2AB77E17"/>
    <w:rsid w:val="2C374186"/>
    <w:rsid w:val="2CED38E6"/>
    <w:rsid w:val="30174246"/>
    <w:rsid w:val="325318B2"/>
    <w:rsid w:val="41443275"/>
    <w:rsid w:val="4250639E"/>
    <w:rsid w:val="4329267A"/>
    <w:rsid w:val="435A6143"/>
    <w:rsid w:val="477E6B0B"/>
    <w:rsid w:val="47EC5761"/>
    <w:rsid w:val="4846496F"/>
    <w:rsid w:val="510D4461"/>
    <w:rsid w:val="52670958"/>
    <w:rsid w:val="56080A0D"/>
    <w:rsid w:val="569B3346"/>
    <w:rsid w:val="571F03DC"/>
    <w:rsid w:val="5A9248F7"/>
    <w:rsid w:val="5AB40472"/>
    <w:rsid w:val="639F2FBA"/>
    <w:rsid w:val="6E947B81"/>
    <w:rsid w:val="6EE36B4E"/>
    <w:rsid w:val="711206A8"/>
    <w:rsid w:val="7B9B78C0"/>
    <w:rsid w:val="7BAA2A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7"/>
    <w:link w:val="3"/>
    <w:qFormat/>
    <w:uiPriority w:val="0"/>
    <w:rPr>
      <w:rFonts w:ascii="Times New Roman" w:hAnsi="Times New Roman" w:eastAsia="宋体" w:cs="Times New Roman"/>
      <w:sz w:val="18"/>
      <w:szCs w:val="18"/>
    </w:rPr>
  </w:style>
  <w:style w:type="character" w:customStyle="1" w:styleId="9">
    <w:name w:val="页脚 Char"/>
    <w:basedOn w:val="7"/>
    <w:link w:val="2"/>
    <w:qFormat/>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
    <w:name w:val="正文样式"/>
    <w:basedOn w:val="1"/>
    <w:qFormat/>
    <w:uiPriority w:val="0"/>
    <w:pPr>
      <w:ind w:firstLine="480" w:firstLineChars="200"/>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28BC7-9225-4430-9282-AE5EFDC4365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Pages>
  <Words>796</Words>
  <Characters>4541</Characters>
  <Lines>37</Lines>
  <Paragraphs>10</Paragraphs>
  <TotalTime>32</TotalTime>
  <ScaleCrop>false</ScaleCrop>
  <LinksUpToDate>false</LinksUpToDate>
  <CharactersWithSpaces>5327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dcterms:modified xsi:type="dcterms:W3CDTF">2021-04-28T08:50:04Z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